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f29802ff1b17883333767d6bc75a0887b9bda9"/>
      <w:r>
        <w:t xml:space="preserve">ISO9001 System Document Package (43) | Management Review Input Preparation Work Instruction</w:t>
      </w:r>
      <w:bookmarkEnd w:id="20"/>
    </w:p>
    <w:p>
      <w:pPr>
        <w:pStyle w:val="FirstParagraph"/>
      </w:pPr>
      <w:r>
        <w:rPr>
          <w:b/>
        </w:rPr>
        <w:t xml:space="preserve">Document Number</w:t>
      </w:r>
      <w:r>
        <w:t xml:space="preserve">: WI-QA-43　|　</w:t>
      </w:r>
      <w:r>
        <w:rPr>
          <w:b/>
        </w:rPr>
        <w:t xml:space="preserve">Document Level</w:t>
      </w:r>
      <w:r>
        <w:t xml:space="preserve">: Level 3 Document (Work Instruction)　|　</w:t>
      </w:r>
      <w:r>
        <w:rPr>
          <w:b/>
        </w:rPr>
        <w:t xml:space="preserve">Corresponding Clause</w:t>
      </w:r>
      <w:r>
        <w:t xml:space="preserve">: ISO 9001:2015 9.3 Management Review (9.3.2 Review Input / 9.3.3 Review Output)</w:t>
      </w:r>
    </w:p>
    <w:p>
      <w:pPr>
        <w:pStyle w:val="BodyText"/>
      </w:pPr>
      <w:r>
        <w:rPr>
          <w:b/>
        </w:rPr>
        <w:t xml:space="preserve">Document Description</w:t>
      </w:r>
      <w:r>
        <w:t xml:space="preserve">: This work instruction is the operational extension of the Level 2 document,</w:t>
      </w:r>
      <w:r>
        <w:t xml:space="preserve"> </w:t>
      </w:r>
      <w:r>
        <w:t xml:space="preserve">“</w:t>
      </w:r>
      <w:r>
        <w:t xml:space="preserve">Management Review Procedure</w:t>
      </w:r>
      <w:r>
        <w:t xml:space="preserve">”</w:t>
      </w:r>
      <w:r>
        <w:t xml:space="preserve"> </w:t>
      </w:r>
      <w:r>
        <w:t xml:space="preserve">(QP-26). The</w:t>
      </w:r>
      <w:r>
        <w:t xml:space="preserve"> </w:t>
      </w:r>
      <w:r>
        <w:t xml:space="preserve">“</w:t>
      </w:r>
      <w:r>
        <w:t xml:space="preserve">Management Review Procedure</w:t>
      </w:r>
      <w:r>
        <w:t xml:space="preserve">”</w:t>
      </w:r>
      <w:r>
        <w:t xml:space="preserve"> </w:t>
      </w:r>
      <w:r>
        <w:t xml:space="preserve">addresses procedural issues such as</w:t>
      </w:r>
      <w:r>
        <w:t xml:space="preserve"> </w:t>
      </w:r>
      <w:r>
        <w:t xml:space="preserve">“</w:t>
      </w:r>
      <w:r>
        <w:t xml:space="preserve">who chairs, how often to review, and how to form and track review conclusions</w:t>
      </w:r>
      <w:r>
        <w:t xml:space="preserve">”</w:t>
      </w:r>
      <w:r>
        <w:t xml:space="preserve">; this document addresses the most critical and often uncontrollable aspect before the meeting begins—</w:t>
      </w:r>
      <w:r>
        <w:rPr>
          <w:b/>
        </w:rPr>
        <w:t xml:space="preserve">who prepares the input materials, what criteria are used, when they are submitted, and how they are verified and summarized</w:t>
      </w:r>
      <w:r>
        <w:t xml:space="preserve">. In practice, 90% of the issues with management reviews are not about the meeting itself but about the input preparation: data is hastily gathered by various departments, criteria are inconsistent, target achievement rates do not match financial reports, the effectiveness of measures for risks and opportunities is not tracked, and resource requirements lack quantitative support, leading to meetings that are merely superficial. This document is suitable for manufacturing, trading, and service companies that have established a quality management system (QMS) and need to conduct management reviews regularly according to clause 9.3. It is particularly useful for companies where input data is scattered across multiple departments, lacks a unified criteria and template, and where past reviews have been formalities. Companies running ISO 14001 and ISO 45001 simultaneously can use the multi-system input consolidation approach in this document to prepare and review all systems at once. The main body of the document includes eight complete sections: input composition and clause correspondence, preparation schedule, departmental input package compilation, consolidation and verification, self-check for completeness, document package arrangement, meeting connection, and archiving. It also includes field lists, filling instructions, and sample rows for various input forms, which can be directly used as controlled documents for release.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planning, collection, verification, consolidation, and submission process for management review inputs, ensuring:</w:t>
      </w:r>
    </w:p>
    <w:p>
      <w:pPr>
        <w:numPr>
          <w:ilvl w:val="0"/>
          <w:numId w:val="1001"/>
        </w:numPr>
        <w:pStyle w:val="Compact"/>
      </w:pPr>
      <w:r>
        <w:t xml:space="preserve">All input items required by clause 9.3.2 are included, with each item having a clear providing department, clear deliverables, and a clear deadline, avoiding any</w:t>
      </w:r>
      <w:r>
        <w:t xml:space="preserve"> </w:t>
      </w:r>
      <w:r>
        <w:t xml:space="preserve">“</w:t>
      </w:r>
      <w:r>
        <w:t xml:space="preserve">oral reporting during the meeting</w:t>
      </w:r>
      <w:r>
        <w:t xml:space="preserve">”</w:t>
      </w:r>
      <w:r>
        <w:t xml:space="preserve">;</w:t>
      </w:r>
    </w:p>
    <w:p>
      <w:pPr>
        <w:numPr>
          <w:ilvl w:val="0"/>
          <w:numId w:val="1001"/>
        </w:numPr>
        <w:pStyle w:val="Compact"/>
      </w:pPr>
      <w:r>
        <w:t xml:space="preserve">Uniform criteria for input data: the same indicator should have consistent values across departments and between system reports and operational reports, no two sets of numbers are allowed;</w:t>
      </w:r>
    </w:p>
    <w:p>
      <w:pPr>
        <w:numPr>
          <w:ilvl w:val="0"/>
          <w:numId w:val="1001"/>
        </w:numPr>
        <w:pStyle w:val="Compact"/>
      </w:pPr>
      <w:r>
        <w:t xml:space="preserve">Inputs not only report numerical values but also trends, causes, and conclusions—each indicator should be compared with the target value, the previous cycle, and include preliminary analysis of deviations;</w:t>
      </w:r>
    </w:p>
    <w:p>
      <w:pPr>
        <w:numPr>
          <w:ilvl w:val="0"/>
          <w:numId w:val="1001"/>
        </w:numPr>
        <w:pStyle w:val="Compact"/>
      </w:pPr>
      <w:r>
        <w:t xml:space="preserve">Input materials are sent to participants at least 7 days before the meeting, allowing top management to enter the meeting with questions and use meeting time for judgment and decision-making rather than listening to data;</w:t>
      </w:r>
    </w:p>
    <w:p>
      <w:pPr>
        <w:numPr>
          <w:ilvl w:val="0"/>
          <w:numId w:val="1001"/>
        </w:numPr>
        <w:pStyle w:val="Compact"/>
      </w:pPr>
      <w:r>
        <w:t xml:space="preserve">Input materials correspond to the outputs of the previous review, internal audit conclusions, and external audit findings, forming a closed loop where</w:t>
      </w:r>
      <w:r>
        <w:t xml:space="preserve"> </w:t>
      </w:r>
      <w:r>
        <w:t xml:space="preserve">“</w:t>
      </w:r>
      <w:r>
        <w:t xml:space="preserve">matters required in the last review are addressed in this one,</w:t>
      </w:r>
      <w:r>
        <w:t xml:space="preserve">”</w:t>
      </w:r>
      <w:r>
        <w:t xml:space="preserve"> </w:t>
      </w:r>
      <w:r>
        <w:t xml:space="preserve">making the management review a true driver for continuous improvement of the system.</w:t>
      </w:r>
    </w:p>
    <w:p>
      <w:pPr>
        <w:pStyle w:val="Heading2"/>
      </w:pPr>
      <w:bookmarkStart w:id="22" w:name="scope-of-application"/>
      <w:r>
        <w:t xml:space="preserve">2. Scope of Application</w:t>
      </w:r>
      <w:bookmarkEnd w:id="22"/>
    </w:p>
    <w:p>
      <w:pPr>
        <w:pStyle w:val="FirstParagraph"/>
      </w:pPr>
      <w:r>
        <w:t xml:space="preserve">2.1 Applicable to the preparation activities for annual management review inputs covering all processes and departments within the company’s QMS, including regular reviews (usually at least once a year) and special reviews (temporarily convened for significant changes in the system, major quality incidents, major customer complaints, or significant regulatory changes).</w:t>
      </w:r>
    </w:p>
    <w:p>
      <w:pPr>
        <w:pStyle w:val="BodyText"/>
      </w:pPr>
      <w:r>
        <w:t xml:space="preserve">2.2 The covered input content is executed according to clause 9.3.2 of ISO 9001:2015, including: the implementation status of measures taken from previous management reviews; changes in internal and external issues related to the QMS; customer satisfaction and feedback from interested parties; the degree of achievement of quality objectives; process performance and the conformity of products and services; nonconforming products and corrective actions; monitoring and measurement results; audit results; performance of external suppliers; adequacy of resources; effectiveness of measures taken to address risks and opportunities; and opportunities for improvement.</w:t>
      </w:r>
    </w:p>
    <w:p>
      <w:pPr>
        <w:pStyle w:val="BodyText"/>
      </w:pPr>
      <w:r>
        <w:t xml:space="preserve">2.3 The following activities are not within the scope of this document and should be executed according to their corresponding documents: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Scenario</w:t>
            </w:r>
          </w:p>
        </w:tc>
        <w:tc>
          <w:tcPr>
            <w:tcBorders>
              <w:bottom w:val="single"/>
            </w:tcBorders>
            <w:vAlign w:val="bottom"/>
          </w:tcPr>
          <w:p>
            <w:pPr>
              <w:pStyle w:val="Compact"/>
              <w:jc w:val="left"/>
            </w:pPr>
            <w:r>
              <w:t xml:space="preserve">Execution Document</w:t>
            </w:r>
          </w:p>
        </w:tc>
      </w:tr>
      <w:tr>
        <w:tc>
          <w:p>
            <w:pPr>
              <w:pStyle w:val="Compact"/>
              <w:jc w:val="left"/>
            </w:pPr>
            <w:r>
              <w:t xml:space="preserve">Organization of the management review meeting, formation of resolutions, tracking of outputs, and overall requirements</w:t>
            </w:r>
          </w:p>
        </w:tc>
        <w:tc>
          <w:p>
            <w:pPr>
              <w:pStyle w:val="Compact"/>
              <w:jc w:val="left"/>
            </w:pPr>
            <w:r>
              <w:t xml:space="preserve">“</w:t>
            </w:r>
            <w:r>
              <w:t xml:space="preserve">Management Review Procedure</w:t>
            </w:r>
            <w:r>
              <w:t xml:space="preserve">”</w:t>
            </w:r>
            <w:r>
              <w:t xml:space="preserve"> </w:t>
            </w:r>
            <w:r>
              <w:t xml:space="preserve">(QP-26)</w:t>
            </w:r>
          </w:p>
        </w:tc>
      </w:tr>
      <w:tr>
        <w:tc>
          <w:p>
            <w:pPr>
              <w:pStyle w:val="Compact"/>
              <w:jc w:val="left"/>
            </w:pPr>
            <w:r>
              <w:t xml:space="preserve">Planning, implementation, and reporting of internal audits</w:t>
            </w:r>
          </w:p>
        </w:tc>
        <w:tc>
          <w:p>
            <w:pPr>
              <w:pStyle w:val="Compact"/>
              <w:jc w:val="left"/>
            </w:pPr>
            <w:r>
              <w:t xml:space="preserve">“</w:t>
            </w:r>
            <w:r>
              <w:t xml:space="preserve">Internal Audit Implementation Work Instruction</w:t>
            </w:r>
            <w:r>
              <w:t xml:space="preserve">”</w:t>
            </w:r>
            <w:r>
              <w:t xml:space="preserve"> </w:t>
            </w:r>
            <w:r>
              <w:t xml:space="preserve">(WI-QA-42)</w:t>
            </w:r>
          </w:p>
        </w:tc>
      </w:tr>
      <w:tr>
        <w:tc>
          <w:p>
            <w:pPr>
              <w:pStyle w:val="Compact"/>
              <w:jc w:val="left"/>
            </w:pPr>
            <w:r>
              <w:t xml:space="preserve">Statistical methods and tool selection for various data</w:t>
            </w:r>
          </w:p>
        </w:tc>
        <w:tc>
          <w:p>
            <w:pPr>
              <w:pStyle w:val="Compact"/>
              <w:jc w:val="left"/>
            </w:pPr>
            <w:r>
              <w:t xml:space="preserve">“</w:t>
            </w:r>
            <w:r>
              <w:t xml:space="preserve">Data Analysis and Statistical Tool Application Work Instruction</w:t>
            </w:r>
            <w:r>
              <w:t xml:space="preserve">”</w:t>
            </w:r>
            <w:r>
              <w:t xml:space="preserve"> </w:t>
            </w:r>
            <w:r>
              <w:t xml:space="preserve">(WI-QA-44)</w:t>
            </w:r>
          </w:p>
        </w:tc>
      </w:tr>
      <w:tr>
        <w:tc>
          <w:p>
            <w:pPr>
              <w:pStyle w:val="Compact"/>
              <w:jc w:val="left"/>
            </w:pPr>
            <w:r>
              <w:t xml:space="preserve">Cause analysis and implementation of corrective actions for nonconformities</w:t>
            </w:r>
          </w:p>
        </w:tc>
        <w:tc>
          <w:p>
            <w:pPr>
              <w:pStyle w:val="Compact"/>
              <w:jc w:val="left"/>
            </w:pPr>
            <w:r>
              <w:t xml:space="preserve">“</w:t>
            </w:r>
            <w:r>
              <w:t xml:space="preserve">Corrective Action Implementation and Verification Work Instruction</w:t>
            </w:r>
            <w:r>
              <w:t xml:space="preserve">”</w:t>
            </w:r>
            <w:r>
              <w:t xml:space="preserve"> </w:t>
            </w:r>
            <w:r>
              <w:t xml:space="preserve">(WI-QA-45)</w:t>
            </w:r>
          </w:p>
        </w:tc>
      </w:tr>
      <w:tr>
        <w:tc>
          <w:p>
            <w:pPr>
              <w:pStyle w:val="Compact"/>
              <w:jc w:val="left"/>
            </w:pPr>
            <w:r>
              <w:t xml:space="preserve">Decomposition, evaluation, and monthly tracking of quality objectives</w:t>
            </w:r>
          </w:p>
        </w:tc>
        <w:tc>
          <w:p>
            <w:pPr>
              <w:pStyle w:val="Compact"/>
              <w:jc w:val="left"/>
            </w:pPr>
            <w:r>
              <w:t xml:space="preserve">“</w:t>
            </w:r>
            <w:r>
              <w:t xml:space="preserve">Quality Policy and Quality Objectives Management Procedure</w:t>
            </w:r>
            <w:r>
              <w:t xml:space="preserve">”</w:t>
            </w:r>
            <w:r>
              <w:t xml:space="preserve"> </w:t>
            </w:r>
            <w:r>
              <w:t xml:space="preserve">(QP-07)</w:t>
            </w:r>
          </w:p>
        </w:tc>
      </w:tr>
      <w:tr>
        <w:tc>
          <w:p>
            <w:pPr>
              <w:pStyle w:val="Compact"/>
              <w:jc w:val="left"/>
            </w:pPr>
            <w:r>
              <w:t xml:space="preserve">Departmental daily operational reports and financial monthly reports</w:t>
            </w:r>
          </w:p>
        </w:tc>
        <w:tc>
          <w:p>
            <w:pPr>
              <w:pStyle w:val="Compact"/>
              <w:jc w:val="left"/>
            </w:pPr>
            <w:r>
              <w:t xml:space="preserve">Executed according to the company’s operational management regulations; this document only specifies the conversion criteria for inputs to the management review</w:t>
            </w:r>
          </w:p>
        </w:tc>
      </w:tr>
    </w:tbl>
    <w:p>
      <w:pPr>
        <w:pStyle w:val="BodyText"/>
      </w:pPr>
      <w:r>
        <w:t xml:space="preserve">2.4 For multi-site and multi-product line companies, data should be collected separately and consolidated centrally: data from remote factories, leased warehouses, and overseas service points should be submitted by the local responsible persons and merged by the responsible department into a group-level input, not replaced by headquarters data.</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w:t>
      </w:r>
      <w:r>
        <w:t xml:space="preserve">: Determines the timing and key topics for the management review; reviews input materials and raises any additional explanations needed before the meeting; makes decisions on resource gaps and systemic risks exposed in the inputs.</w:t>
      </w:r>
    </w:p>
    <w:p>
      <w:pPr>
        <w:pStyle w:val="BodyText"/>
      </w:pPr>
      <w:r>
        <w:t xml:space="preserve">3.2</w:t>
      </w:r>
      <w:r>
        <w:t xml:space="preserve"> </w:t>
      </w:r>
      <w:r>
        <w:rPr>
          <w:b/>
        </w:rPr>
        <w:t xml:space="preserve">Management Representative</w:t>
      </w:r>
      <w:r>
        <w:t xml:space="preserve">: The overall coordinator for management review inputs. Approves the input list, templates, and schedule; approves departmental input packages; resolves data criteria disputes; reviews the final draft of the</w:t>
      </w:r>
      <w:r>
        <w:t xml:space="preserve"> </w:t>
      </w:r>
      <w:r>
        <w:t xml:space="preserve">“</w:t>
      </w:r>
      <w:r>
        <w:t xml:space="preserve">Management Review Input Report</w:t>
      </w:r>
      <w:r>
        <w:t xml:space="preserve">”</w:t>
      </w:r>
      <w:r>
        <w:t xml:space="preserve">; ensures that input materials are distributed to participants on time and as required.</w:t>
      </w:r>
    </w:p>
    <w:p>
      <w:pPr>
        <w:pStyle w:val="BodyText"/>
      </w:pPr>
      <w:r>
        <w:t xml:space="preserve">3.3</w:t>
      </w:r>
      <w:r>
        <w:t xml:space="preserve"> </w:t>
      </w:r>
      <w:r>
        <w:rPr>
          <w:b/>
        </w:rPr>
        <w:t xml:space="preserve">Quality Department (Management Review Responsible Department)</w:t>
      </w:r>
      <w:r>
        <w:t xml:space="preserve">: Responsible for the implementation of this document. Compiles and issues the</w:t>
      </w:r>
      <w:r>
        <w:t xml:space="preserve"> </w:t>
      </w:r>
      <w:r>
        <w:t xml:space="preserve">“</w:t>
      </w:r>
      <w:r>
        <w:t xml:space="preserve">Management Review Input Material List</w:t>
      </w:r>
      <w:r>
        <w:t xml:space="preserve">”</w:t>
      </w:r>
      <w:r>
        <w:t xml:space="preserve"> </w:t>
      </w:r>
      <w:r>
        <w:t xml:space="preserve">and accompanying templates; organizes the input preparation kick-off meeting and communicates data criteria; collects input packages from departments; cross-verifies and checks the completeness of input materials; compiles the consolidated draft of the</w:t>
      </w:r>
      <w:r>
        <w:t xml:space="preserve"> </w:t>
      </w:r>
      <w:r>
        <w:t xml:space="preserve">“</w:t>
      </w:r>
      <w:r>
        <w:t xml:space="preserve">Management Review Input Report</w:t>
      </w:r>
      <w:r>
        <w:t xml:space="preserve">”</w:t>
      </w:r>
      <w:r>
        <w:t xml:space="preserve">; arranges the meeting material package; and is responsible for archiving and traceability of inputs.</w:t>
      </w:r>
    </w:p>
    <w:p>
      <w:pPr>
        <w:pStyle w:val="BodyText"/>
      </w:pPr>
      <w:r>
        <w:t xml:space="preserve">3.4</w:t>
      </w:r>
      <w:r>
        <w:t xml:space="preserve"> </w:t>
      </w:r>
      <w:r>
        <w:rPr>
          <w:b/>
        </w:rPr>
        <w:t xml:space="preserve">Department Heads</w:t>
      </w:r>
      <w:r>
        <w:t xml:space="preserve">: The first responsible person for input materials of their department. Designates data responsible persons, collects data according to templates and criteria, submits input packages on time, and is responsible for the authenticity and completeness of the department’s data; responds to data questions raised by the responsible department within 2 working days.</w:t>
      </w:r>
    </w:p>
    <w:p>
      <w:pPr>
        <w:pStyle w:val="BodyText"/>
      </w:pPr>
      <w:r>
        <w:t xml:space="preserve">3.5</w:t>
      </w:r>
      <w:r>
        <w:t xml:space="preserve"> </w:t>
      </w:r>
      <w:r>
        <w:rPr>
          <w:b/>
        </w:rPr>
        <w:t xml:space="preserve">Sales/Marketing Department</w:t>
      </w:r>
      <w:r>
        <w:t xml:space="preserve">: Provides customer satisfaction and complaint data, contract fulfillment and on-time delivery data, order and market change information, changes in customer special requirements, and information on competitors and market environment.</w:t>
      </w:r>
    </w:p>
    <w:p>
      <w:pPr>
        <w:pStyle w:val="BodyText"/>
      </w:pPr>
      <w:r>
        <w:t xml:space="preserve">3.6</w:t>
      </w:r>
      <w:r>
        <w:t xml:space="preserve"> </w:t>
      </w:r>
      <w:r>
        <w:rPr>
          <w:b/>
        </w:rPr>
        <w:t xml:space="preserve">Technical/R&amp;D Department</w:t>
      </w:r>
      <w:r>
        <w:t xml:space="preserve">: Provides progress and phase review results of design and development projects, implementation effects of design changes, product conformity and changes in technical standards, and technical improvement opportunities.</w:t>
      </w:r>
    </w:p>
    <w:p>
      <w:pPr>
        <w:pStyle w:val="BodyText"/>
      </w:pPr>
      <w:r>
        <w:t xml:space="preserve">3.7</w:t>
      </w:r>
      <w:r>
        <w:t xml:space="preserve"> </w:t>
      </w:r>
      <w:r>
        <w:rPr>
          <w:b/>
        </w:rPr>
        <w:t xml:space="preserve">Production Department</w:t>
      </w:r>
      <w:r>
        <w:t xml:space="preserve">: Provides production volume and plan achievement, process capability and process nonconformity data, equipment operation and downtime data, process execution deviations, and production site improvement opportunities.</w:t>
      </w:r>
    </w:p>
    <w:p>
      <w:pPr>
        <w:pStyle w:val="BodyText"/>
      </w:pPr>
      <w:r>
        <w:t xml:space="preserve">3.8</w:t>
      </w:r>
      <w:r>
        <w:t xml:space="preserve"> </w:t>
      </w:r>
      <w:r>
        <w:rPr>
          <w:b/>
        </w:rPr>
        <w:t xml:space="preserve">Quality Department (Inspection and System Functions)</w:t>
      </w:r>
      <w:r>
        <w:t xml:space="preserve">: Provides incoming inspection, process inspection, and finished product inspection data, statistics and trends of nonconforming products, internal and external audit results and nonconformity rectification status, management status of monitoring and measurement resources, quality cost and quality incident situations.</w:t>
      </w:r>
    </w:p>
    <w:p>
      <w:pPr>
        <w:pStyle w:val="BodyText"/>
      </w:pPr>
      <w:r>
        <w:t xml:space="preserve">3.9</w:t>
      </w:r>
      <w:r>
        <w:t xml:space="preserve"> </w:t>
      </w:r>
      <w:r>
        <w:rPr>
          <w:b/>
        </w:rPr>
        <w:t xml:space="preserve">Purchasing Department</w:t>
      </w:r>
      <w:r>
        <w:t xml:space="preserve">: Provides performance evaluation results of external suppliers, incoming material abnormalities and return data, supplier changes and risk information, and key material supply assurance situations.</w:t>
      </w:r>
    </w:p>
    <w:p>
      <w:pPr>
        <w:pStyle w:val="BodyText"/>
      </w:pPr>
      <w:r>
        <w:t xml:space="preserve">3.10</w:t>
      </w:r>
      <w:r>
        <w:t xml:space="preserve"> </w:t>
      </w:r>
      <w:r>
        <w:rPr>
          <w:b/>
        </w:rPr>
        <w:t xml:space="preserve">Human Resources Department</w:t>
      </w:r>
      <w:r>
        <w:t xml:space="preserve">: Provides personnel configuration and turnover, training plan completion rate and effectiveness evaluation, job capability gaps, and human resource requirements.</w:t>
      </w:r>
    </w:p>
    <w:p>
      <w:pPr>
        <w:pStyle w:val="BodyText"/>
      </w:pPr>
      <w:r>
        <w:t xml:space="preserve">3.11</w:t>
      </w:r>
      <w:r>
        <w:t xml:space="preserve"> </w:t>
      </w:r>
      <w:r>
        <w:rPr>
          <w:b/>
        </w:rPr>
        <w:t xml:space="preserve">Equipment/Engineering Department</w:t>
      </w:r>
      <w:r>
        <w:t xml:space="preserve">: Provides changes in infrastructure and equipment inventory, maintenance and fault data, calibration status of measuring instruments, technical renovation investment and effects, and equipment resource requirements.</w:t>
      </w:r>
    </w:p>
    <w:p>
      <w:pPr>
        <w:pStyle w:val="BodyText"/>
      </w:pPr>
      <w:r>
        <w:t xml:space="preserve">3.12</w:t>
      </w:r>
      <w:r>
        <w:t xml:space="preserve"> </w:t>
      </w:r>
      <w:r>
        <w:rPr>
          <w:b/>
        </w:rPr>
        <w:t xml:space="preserve">Warehousing/Logistics Department</w:t>
      </w:r>
      <w:r>
        <w:t xml:space="preserve">: Provides inventory turnover and inventory accuracy, material protection and damage data, anomalies in handling and delivery, and warehousing resource requirements.</w:t>
      </w:r>
    </w:p>
    <w:p>
      <w:pPr>
        <w:pStyle w:val="BodyText"/>
      </w:pPr>
      <w:r>
        <w:t xml:space="preserve">3.13</w:t>
      </w:r>
      <w:r>
        <w:t xml:space="preserve"> </w:t>
      </w:r>
      <w:r>
        <w:rPr>
          <w:b/>
        </w:rPr>
        <w:t xml:space="preserve">Finance Department</w:t>
      </w:r>
      <w:r>
        <w:t xml:space="preserve"> </w:t>
      </w:r>
      <w:r>
        <w:t xml:space="preserve">(if established): Provides cost data related to quality (prevention cost, appraisal cost, internal and external failure cost), and the execution status of quality-related investment budgets, for use in assessing resource adequacy.</w:t>
      </w:r>
    </w:p>
    <w:p>
      <w:pPr>
        <w:pStyle w:val="BodyText"/>
      </w:pPr>
      <w:r>
        <w:t xml:space="preserve">3.14</w:t>
      </w:r>
      <w:r>
        <w:t xml:space="preserve"> </w:t>
      </w:r>
      <w:r>
        <w:rPr>
          <w:b/>
        </w:rPr>
        <w:t xml:space="preserve">Internal Audit Leader</w:t>
      </w:r>
      <w:r>
        <w:t xml:space="preserve">: Provides the internal audit report for the current year, distribution and rectification verification status of nonconformities, and overall effectiveness evaluation conclusions of the system.</w:t>
      </w:r>
    </w:p>
    <w:p>
      <w:pPr>
        <w:pStyle w:val="Heading2"/>
      </w:pPr>
      <w:bookmarkStart w:id="24" w:name="work-procedures"/>
      <w:r>
        <w:t xml:space="preserve">4. Work Procedures</w:t>
      </w:r>
      <w:bookmarkEnd w:id="24"/>
    </w:p>
    <w:p>
      <w:pPr>
        <w:pStyle w:val="Heading3"/>
      </w:pPr>
      <w:bookmarkStart w:id="25" w:name="X0fb556238b2989f30eb54d4356fb57e679af4f7"/>
      <w:r>
        <w:t xml:space="preserve">4.1 Input Composition and Clause Correspondence</w:t>
      </w:r>
      <w:bookmarkEnd w:id="25"/>
    </w:p>
    <w:p>
      <w:pPr>
        <w:pStyle w:val="FirstParagraph"/>
      </w:pPr>
      <w:r>
        <w:t xml:space="preserve">4.1.1 The Quality Department should implement the input requirements of clause 9.3.2 according to the table below, forming the</w:t>
      </w:r>
      <w:r>
        <w:t xml:space="preserve"> </w:t>
      </w:r>
      <w:r>
        <w:t xml:space="preserve">“</w:t>
      </w:r>
      <w:r>
        <w:t xml:space="preserve">Management Review Input Material List</w:t>
      </w:r>
      <w:r>
        <w:t xml:space="preserve">”</w:t>
      </w:r>
      <w:r>
        <w:t xml:space="preserve"> </w:t>
      </w:r>
      <w:r>
        <w:t xml:space="preserve">and issuing it with the notification. No input item should be left blank; if there is no relevant business (e.g., a pure trading company has no production process), it should be noted as</w:t>
      </w:r>
      <w:r>
        <w:t xml:space="preserve"> </w:t>
      </w:r>
      <w:r>
        <w:t xml:space="preserve">“</w:t>
      </w:r>
      <w:r>
        <w:t xml:space="preserve">This company has no such activity, handled according to the reduction statement</w:t>
      </w:r>
      <w:r>
        <w:t xml:space="preserve">”</w:t>
      </w:r>
      <w:r>
        <w:t xml:space="preserve"> </w:t>
      </w:r>
      <w:r>
        <w:t xml:space="preserve">rather than left blank.</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Standard Input Requirements (9.3.2)</w:t>
            </w:r>
          </w:p>
        </w:tc>
        <w:tc>
          <w:tcPr>
            <w:tcBorders>
              <w:bottom w:val="single"/>
            </w:tcBorders>
            <w:vAlign w:val="bottom"/>
          </w:tcPr>
          <w:p>
            <w:pPr>
              <w:pStyle w:val="Compact"/>
              <w:jc w:val="left"/>
            </w:pPr>
            <w:r>
              <w:t xml:space="preserve">Data/Information Source</w:t>
            </w:r>
          </w:p>
        </w:tc>
        <w:tc>
          <w:tcPr>
            <w:tcBorders>
              <w:bottom w:val="single"/>
            </w:tcBorders>
            <w:vAlign w:val="bottom"/>
          </w:tcPr>
          <w:p>
            <w:pPr>
              <w:pStyle w:val="Compact"/>
              <w:jc w:val="left"/>
            </w:pPr>
            <w:r>
              <w:t xml:space="preserve">Providing Department</w:t>
            </w:r>
          </w:p>
        </w:tc>
        <w:tc>
          <w:tcPr>
            <w:tcBorders>
              <w:bottom w:val="single"/>
            </w:tcBorders>
            <w:vAlign w:val="bottom"/>
          </w:tcPr>
          <w:p>
            <w:pPr>
              <w:pStyle w:val="Compact"/>
              <w:jc w:val="left"/>
            </w:pPr>
            <w:r>
              <w:t xml:space="preserve">Deliverables</w:t>
            </w:r>
          </w:p>
        </w:tc>
        <w:tc>
          <w:tcPr>
            <w:tcBorders>
              <w:bottom w:val="single"/>
            </w:tcBorders>
            <w:vAlign w:val="bottom"/>
          </w:tcPr>
          <w:p>
            <w:pPr>
              <w:pStyle w:val="Compact"/>
              <w:jc w:val="left"/>
            </w:pPr>
            <w:r>
              <w:t xml:space="preserve">Deadline</w:t>
            </w:r>
          </w:p>
        </w:tc>
      </w:tr>
      <w:tr>
        <w:tc>
          <w:p>
            <w:pPr>
              <w:pStyle w:val="Compact"/>
              <w:jc w:val="left"/>
            </w:pPr>
            <w:r>
              <w:t xml:space="preserve">1</w:t>
            </w:r>
          </w:p>
        </w:tc>
        <w:tc>
          <w:p>
            <w:pPr>
              <w:pStyle w:val="Compact"/>
              <w:jc w:val="left"/>
            </w:pPr>
            <w:r>
              <w:t xml:space="preserve">a) Implementation status of measures from previous management reviews</w:t>
            </w:r>
          </w:p>
        </w:tc>
        <w:tc>
          <w:p>
            <w:pPr>
              <w:pStyle w:val="Compact"/>
              <w:jc w:val="left"/>
            </w:pPr>
            <w:r>
              <w:t xml:space="preserve">Follow-up ledger of previous review outputs</w:t>
            </w:r>
          </w:p>
        </w:tc>
        <w:tc>
          <w:p>
            <w:pPr>
              <w:pStyle w:val="Compact"/>
              <w:jc w:val="left"/>
            </w:pPr>
            <w:r>
              <w:t xml:space="preserve">Quality Department</w:t>
            </w:r>
          </w:p>
        </w:tc>
        <w:tc>
          <w:p>
            <w:pPr>
              <w:pStyle w:val="Compact"/>
              <w:jc w:val="left"/>
            </w:pPr>
            <w:r>
              <w:t xml:space="preserve">“</w:t>
            </w:r>
            <w:r>
              <w:t xml:space="preserve">Action Tracking Form</w:t>
            </w:r>
            <w:r>
              <w:t xml:space="preserve">”</w:t>
            </w:r>
          </w:p>
        </w:tc>
        <w:tc>
          <w:p>
            <w:pPr>
              <w:pStyle w:val="Compact"/>
              <w:jc w:val="left"/>
            </w:pPr>
            <w:r>
              <w:t xml:space="preserve">T-25</w:t>
            </w:r>
          </w:p>
        </w:tc>
      </w:tr>
      <w:tr>
        <w:tc>
          <w:p>
            <w:pPr>
              <w:pStyle w:val="Compact"/>
              <w:jc w:val="left"/>
            </w:pPr>
            <w:r>
              <w:t xml:space="preserve">2</w:t>
            </w:r>
          </w:p>
        </w:tc>
        <w:tc>
          <w:p>
            <w:pPr>
              <w:pStyle w:val="Compact"/>
              <w:jc w:val="left"/>
            </w:pPr>
            <w:r>
              <w:t xml:space="preserve">b) Changes in internal and external issues</w:t>
            </w:r>
          </w:p>
        </w:tc>
        <w:tc>
          <w:p>
            <w:pPr>
              <w:pStyle w:val="Compact"/>
              <w:jc w:val="left"/>
            </w:pPr>
            <w:r>
              <w:t xml:space="preserve">Organizational environment and stakeholder analysis, regulatory and market information</w:t>
            </w:r>
          </w:p>
        </w:tc>
        <w:tc>
          <w:p>
            <w:pPr>
              <w:pStyle w:val="Compact"/>
              <w:jc w:val="left"/>
            </w:pPr>
            <w:r>
              <w:t xml:space="preserve">Quality Department + Sales Department</w:t>
            </w:r>
          </w:p>
        </w:tc>
        <w:tc>
          <w:p>
            <w:pPr>
              <w:pStyle w:val="Compact"/>
              <w:jc w:val="left"/>
            </w:pPr>
            <w:r>
              <w:t xml:space="preserve">“</w:t>
            </w:r>
            <w:r>
              <w:t xml:space="preserve">Explanation of Changes in Internal and External Issues</w:t>
            </w:r>
            <w:r>
              <w:t xml:space="preserve">”</w:t>
            </w:r>
          </w:p>
        </w:tc>
        <w:tc>
          <w:p>
            <w:pPr>
              <w:pStyle w:val="Compact"/>
              <w:jc w:val="left"/>
            </w:pPr>
            <w:r>
              <w:t xml:space="preserve">T-25</w:t>
            </w:r>
          </w:p>
        </w:tc>
      </w:tr>
      <w:tr>
        <w:tc>
          <w:p>
            <w:pPr>
              <w:pStyle w:val="Compact"/>
              <w:jc w:val="left"/>
            </w:pPr>
            <w:r>
              <w:t xml:space="preserve">3</w:t>
            </w:r>
          </w:p>
        </w:tc>
        <w:tc>
          <w:p>
            <w:pPr>
              <w:pStyle w:val="Compact"/>
              <w:jc w:val="left"/>
            </w:pPr>
            <w:r>
              <w:t xml:space="preserve">c1) Customer satisfaction and feedback from interested parties</w:t>
            </w:r>
          </w:p>
        </w:tc>
        <w:tc>
          <w:p>
            <w:pPr>
              <w:pStyle w:val="Compact"/>
              <w:jc w:val="left"/>
            </w:pPr>
            <w:r>
              <w:t xml:space="preserve">Satisfaction surveys, complaint records, customer visits and ratings</w:t>
            </w:r>
          </w:p>
        </w:tc>
        <w:tc>
          <w:p>
            <w:pPr>
              <w:pStyle w:val="Compact"/>
              <w:jc w:val="left"/>
            </w:pPr>
            <w:r>
              <w:t xml:space="preserve">Sales Department</w:t>
            </w:r>
          </w:p>
        </w:tc>
        <w:tc>
          <w:p>
            <w:pPr>
              <w:pStyle w:val="Compact"/>
              <w:jc w:val="left"/>
            </w:pPr>
            <w:r>
              <w:t xml:space="preserve">“</w:t>
            </w:r>
            <w:r>
              <w:t xml:space="preserve">Customer Satisfaction and Feedback Analysis</w:t>
            </w:r>
            <w:r>
              <w:t xml:space="preserve">”</w:t>
            </w:r>
          </w:p>
        </w:tc>
        <w:tc>
          <w:p>
            <w:pPr>
              <w:pStyle w:val="Compact"/>
              <w:jc w:val="left"/>
            </w:pPr>
            <w:r>
              <w:t xml:space="preserve">T-25</w:t>
            </w:r>
          </w:p>
        </w:tc>
      </w:tr>
      <w:tr>
        <w:tc>
          <w:p>
            <w:pPr>
              <w:pStyle w:val="Compact"/>
              <w:jc w:val="left"/>
            </w:pPr>
            <w:r>
              <w:t xml:space="preserve">4</w:t>
            </w:r>
          </w:p>
        </w:tc>
        <w:tc>
          <w:p>
            <w:pPr>
              <w:pStyle w:val="Compact"/>
              <w:jc w:val="left"/>
            </w:pPr>
            <w:r>
              <w:t xml:space="preserve">c2) Degree of achievement of quality objectives</w:t>
            </w:r>
          </w:p>
        </w:tc>
        <w:tc>
          <w:p>
            <w:pPr>
              <w:pStyle w:val="Compact"/>
              <w:jc w:val="left"/>
            </w:pPr>
            <w:r>
              <w:t xml:space="preserve">Objective decomposition table and monthly achievement statistics</w:t>
            </w:r>
          </w:p>
        </w:tc>
        <w:tc>
          <w:p>
            <w:pPr>
              <w:pStyle w:val="Compact"/>
              <w:jc w:val="left"/>
            </w:pPr>
            <w:r>
              <w:t xml:space="preserve">Quality Department</w:t>
            </w:r>
          </w:p>
        </w:tc>
        <w:tc>
          <w:p>
            <w:pPr>
              <w:pStyle w:val="Compact"/>
              <w:jc w:val="left"/>
            </w:pPr>
            <w:r>
              <w:t xml:space="preserve">“</w:t>
            </w:r>
            <w:r>
              <w:t xml:space="preserve">Quality Objective Achievement Analysis</w:t>
            </w:r>
            <w:r>
              <w:t xml:space="preserve">”</w:t>
            </w:r>
          </w:p>
        </w:tc>
        <w:tc>
          <w:p>
            <w:pPr>
              <w:pStyle w:val="Compact"/>
              <w:jc w:val="left"/>
            </w:pPr>
            <w:r>
              <w:t xml:space="preserve">T-25</w:t>
            </w:r>
          </w:p>
        </w:tc>
      </w:tr>
      <w:tr>
        <w:tc>
          <w:p>
            <w:pPr>
              <w:pStyle w:val="Compact"/>
              <w:jc w:val="left"/>
            </w:pPr>
            <w:r>
              <w:t xml:space="preserve">5</w:t>
            </w:r>
          </w:p>
        </w:tc>
        <w:tc>
          <w:p>
            <w:pPr>
              <w:pStyle w:val="Compact"/>
              <w:jc w:val="left"/>
            </w:pPr>
            <w:r>
              <w:t xml:space="preserve">c3) Process performance and conformity of products and services</w:t>
            </w:r>
          </w:p>
        </w:tc>
        <w:tc>
          <w:p>
            <w:pPr>
              <w:pStyle w:val="Compact"/>
              <w:jc w:val="left"/>
            </w:pPr>
            <w:r>
              <w:t xml:space="preserve">KPIs of each process, inspection data, delivery data</w:t>
            </w:r>
          </w:p>
        </w:tc>
        <w:tc>
          <w:p>
            <w:pPr>
              <w:pStyle w:val="Compact"/>
              <w:jc w:val="left"/>
            </w:pPr>
            <w:r>
              <w:t xml:space="preserve">Production Department + Quality Department</w:t>
            </w:r>
          </w:p>
        </w:tc>
        <w:tc>
          <w:p>
            <w:pPr>
              <w:pStyle w:val="Compact"/>
              <w:jc w:val="left"/>
            </w:pPr>
            <w:r>
              <w:t xml:space="preserve">“</w:t>
            </w:r>
            <w:r>
              <w:t xml:space="preserve">Process Performance and Conformity Analysis</w:t>
            </w:r>
            <w:r>
              <w:t xml:space="preserve">”</w:t>
            </w:r>
          </w:p>
        </w:tc>
        <w:tc>
          <w:p>
            <w:pPr>
              <w:pStyle w:val="Compact"/>
              <w:jc w:val="left"/>
            </w:pPr>
            <w:r>
              <w:t xml:space="preserve">T-25</w:t>
            </w:r>
          </w:p>
        </w:tc>
      </w:tr>
      <w:tr>
        <w:tc>
          <w:p>
            <w:pPr>
              <w:pStyle w:val="Compact"/>
              <w:jc w:val="left"/>
            </w:pPr>
            <w:r>
              <w:t xml:space="preserve">6</w:t>
            </w:r>
          </w:p>
        </w:tc>
        <w:tc>
          <w:p>
            <w:pPr>
              <w:pStyle w:val="Compact"/>
              <w:jc w:val="left"/>
            </w:pPr>
            <w:r>
              <w:t xml:space="preserve">c4) Nonconformities and corrective actions</w:t>
            </w:r>
          </w:p>
        </w:tc>
        <w:tc>
          <w:p>
            <w:pPr>
              <w:pStyle w:val="Compact"/>
              <w:jc w:val="left"/>
            </w:pPr>
            <w:r>
              <w:t xml:space="preserve">Nonconforming product ledger, corrective action ledger</w:t>
            </w:r>
          </w:p>
        </w:tc>
        <w:tc>
          <w:p>
            <w:pPr>
              <w:pStyle w:val="Compact"/>
              <w:jc w:val="left"/>
            </w:pPr>
            <w:r>
              <w:t xml:space="preserve">Quality Department</w:t>
            </w:r>
          </w:p>
        </w:tc>
        <w:tc>
          <w:p>
            <w:pPr>
              <w:pStyle w:val="Compact"/>
              <w:jc w:val="left"/>
            </w:pPr>
            <w:r>
              <w:t xml:space="preserve">“</w:t>
            </w:r>
            <w:r>
              <w:t xml:space="preserve">Nonconformity and Corrective Action Analysis</w:t>
            </w:r>
            <w:r>
              <w:t xml:space="preserve">”</w:t>
            </w:r>
          </w:p>
        </w:tc>
        <w:tc>
          <w:p>
            <w:pPr>
              <w:pStyle w:val="Compact"/>
              <w:jc w:val="left"/>
            </w:pPr>
            <w:r>
              <w:t xml:space="preserve">T-25</w:t>
            </w:r>
          </w:p>
        </w:tc>
      </w:tr>
      <w:tr>
        <w:tc>
          <w:p>
            <w:pPr>
              <w:pStyle w:val="Compact"/>
              <w:jc w:val="left"/>
            </w:pPr>
            <w:r>
              <w:t xml:space="preserve">7</w:t>
            </w:r>
          </w:p>
        </w:tc>
        <w:tc>
          <w:p>
            <w:pPr>
              <w:pStyle w:val="Compact"/>
              <w:jc w:val="left"/>
            </w:pPr>
            <w:r>
              <w:t xml:space="preserve">c5) Monitoring and measurement results</w:t>
            </w:r>
          </w:p>
        </w:tc>
        <w:tc>
          <w:p>
            <w:pPr>
              <w:pStyle w:val="Compact"/>
              <w:jc w:val="left"/>
            </w:pPr>
            <w:r>
              <w:t xml:space="preserve">Inspection records, calibration and periodic verification records of measuring instruments</w:t>
            </w:r>
          </w:p>
        </w:tc>
        <w:tc>
          <w:p>
            <w:pPr>
              <w:pStyle w:val="Compact"/>
              <w:jc w:val="left"/>
            </w:pPr>
            <w:r>
              <w:t xml:space="preserve">Quality Department</w:t>
            </w:r>
          </w:p>
        </w:tc>
        <w:tc>
          <w:p>
            <w:pPr>
              <w:pStyle w:val="Compact"/>
              <w:jc w:val="left"/>
            </w:pPr>
            <w:r>
              <w:t xml:space="preserve">“</w:t>
            </w:r>
            <w:r>
              <w:t xml:space="preserve">Summary of Monitoring and Measurement Results</w:t>
            </w:r>
            <w:r>
              <w:t xml:space="preserve">”</w:t>
            </w:r>
          </w:p>
        </w:tc>
        <w:tc>
          <w:p>
            <w:pPr>
              <w:pStyle w:val="Compact"/>
              <w:jc w:val="left"/>
            </w:pPr>
            <w:r>
              <w:t xml:space="preserve">T-25</w:t>
            </w:r>
          </w:p>
        </w:tc>
      </w:tr>
      <w:tr>
        <w:tc>
          <w:p>
            <w:pPr>
              <w:pStyle w:val="Compact"/>
              <w:jc w:val="left"/>
            </w:pPr>
            <w:r>
              <w:t xml:space="preserve">8</w:t>
            </w:r>
          </w:p>
        </w:tc>
        <w:tc>
          <w:p>
            <w:pPr>
              <w:pStyle w:val="Compact"/>
              <w:jc w:val="left"/>
            </w:pPr>
            <w:r>
              <w:t xml:space="preserve">c6) Audit results</w:t>
            </w:r>
          </w:p>
        </w:tc>
        <w:tc>
          <w:p>
            <w:pPr>
              <w:pStyle w:val="Compact"/>
              <w:jc w:val="left"/>
            </w:pPr>
            <w:r>
              <w:t xml:space="preserve">Internal audit report, external audit report, and nonconformities</w:t>
            </w:r>
          </w:p>
        </w:tc>
        <w:tc>
          <w:p>
            <w:pPr>
              <w:pStyle w:val="Compact"/>
              <w:jc w:val="left"/>
            </w:pPr>
            <w:r>
              <w:t xml:space="preserve">Internal Audit Leader</w:t>
            </w:r>
          </w:p>
        </w:tc>
        <w:tc>
          <w:p>
            <w:pPr>
              <w:pStyle w:val="Compact"/>
              <w:jc w:val="left"/>
            </w:pPr>
            <w:r>
              <w:t xml:space="preserve">“</w:t>
            </w:r>
            <w:r>
              <w:t xml:space="preserve">Audit Result Analysis</w:t>
            </w:r>
            <w:r>
              <w:t xml:space="preserve">”</w:t>
            </w:r>
          </w:p>
        </w:tc>
        <w:tc>
          <w:p>
            <w:pPr>
              <w:pStyle w:val="Compact"/>
              <w:jc w:val="left"/>
            </w:pPr>
            <w:r>
              <w:t xml:space="preserve">T-20</w:t>
            </w:r>
          </w:p>
        </w:tc>
      </w:tr>
      <w:tr>
        <w:tc>
          <w:p>
            <w:pPr>
              <w:pStyle w:val="Compact"/>
              <w:jc w:val="left"/>
            </w:pPr>
            <w:r>
              <w:t xml:space="preserve">9</w:t>
            </w:r>
          </w:p>
        </w:tc>
        <w:tc>
          <w:p>
            <w:pPr>
              <w:pStyle w:val="Compact"/>
              <w:jc w:val="left"/>
            </w:pPr>
            <w:r>
              <w:t xml:space="preserve">c7) Performance of external suppliers</w:t>
            </w:r>
          </w:p>
        </w:tc>
        <w:tc>
          <w:p>
            <w:pPr>
              <w:pStyle w:val="Compact"/>
              <w:jc w:val="left"/>
            </w:pPr>
            <w:r>
              <w:t xml:space="preserve">Supplier evaluation form, incoming material qualification rate, and delivery timeliness rate</w:t>
            </w:r>
          </w:p>
        </w:tc>
        <w:tc>
          <w:p>
            <w:pPr>
              <w:pStyle w:val="Compact"/>
              <w:jc w:val="left"/>
            </w:pPr>
            <w:r>
              <w:t xml:space="preserve">Purchasing Department</w:t>
            </w:r>
          </w:p>
        </w:tc>
        <w:tc>
          <w:p>
            <w:pPr>
              <w:pStyle w:val="Compact"/>
              <w:jc w:val="left"/>
            </w:pPr>
            <w:r>
              <w:t xml:space="preserve">“</w:t>
            </w:r>
            <w:r>
              <w:t xml:space="preserve">External Supplier Performance Analysis</w:t>
            </w:r>
            <w:r>
              <w:t xml:space="preserve">”</w:t>
            </w:r>
          </w:p>
        </w:tc>
        <w:tc>
          <w:p>
            <w:pPr>
              <w:pStyle w:val="Compact"/>
              <w:jc w:val="left"/>
            </w:pPr>
            <w:r>
              <w:t xml:space="preserve">T-25</w:t>
            </w:r>
          </w:p>
        </w:tc>
      </w:tr>
      <w:tr>
        <w:tc>
          <w:p>
            <w:pPr>
              <w:pStyle w:val="Compact"/>
              <w:jc w:val="left"/>
            </w:pPr>
            <w:r>
              <w:t xml:space="preserve">10</w:t>
            </w:r>
          </w:p>
        </w:tc>
        <w:tc>
          <w:p>
            <w:pPr>
              <w:pStyle w:val="Compact"/>
              <w:jc w:val="left"/>
            </w:pPr>
            <w:r>
              <w:t xml:space="preserve">d) Adequacy of resources</w:t>
            </w:r>
          </w:p>
        </w:tc>
        <w:tc>
          <w:p>
            <w:pPr>
              <w:pStyle w:val="Compact"/>
              <w:jc w:val="left"/>
            </w:pPr>
            <w:r>
              <w:t xml:space="preserve">Current status and gaps in human resources, equipment, facilities, and financial investment</w:t>
            </w:r>
          </w:p>
        </w:tc>
        <w:tc>
          <w:p>
            <w:pPr>
              <w:pStyle w:val="Compact"/>
              <w:jc w:val="left"/>
            </w:pPr>
            <w:r>
              <w:t xml:space="preserve">All Departments + Human Resources Department</w:t>
            </w:r>
          </w:p>
        </w:tc>
        <w:tc>
          <w:p>
            <w:pPr>
              <w:pStyle w:val="Compact"/>
              <w:jc w:val="left"/>
            </w:pPr>
            <w:r>
              <w:t xml:space="preserve">“</w:t>
            </w:r>
            <w:r>
              <w:t xml:space="preserve">Resource Requirement Explanation</w:t>
            </w:r>
            <w:r>
              <w:t xml:space="preserve">”</w:t>
            </w:r>
            <w:r>
              <w:t xml:space="preserve"> </w:t>
            </w:r>
            <w:r>
              <w:t xml:space="preserve">of each department</w:t>
            </w:r>
          </w:p>
        </w:tc>
        <w:tc>
          <w:p>
            <w:pPr>
              <w:pStyle w:val="Compact"/>
              <w:jc w:val="left"/>
            </w:pPr>
            <w:r>
              <w:t xml:space="preserve">T-25</w:t>
            </w:r>
          </w:p>
        </w:tc>
      </w:tr>
      <w:tr>
        <w:tc>
          <w:p>
            <w:pPr>
              <w:pStyle w:val="Compact"/>
              <w:jc w:val="left"/>
            </w:pPr>
            <w:r>
              <w:t xml:space="preserve">11</w:t>
            </w:r>
          </w:p>
        </w:tc>
        <w:tc>
          <w:p>
            <w:pPr>
              <w:pStyle w:val="Compact"/>
              <w:jc w:val="left"/>
            </w:pPr>
            <w:r>
              <w:t xml:space="preserve">e) Effectiveness of measures taken to address risks and opportunities</w:t>
            </w:r>
          </w:p>
        </w:tc>
        <w:tc>
          <w:p>
            <w:pPr>
              <w:pStyle w:val="Compact"/>
              <w:jc w:val="left"/>
            </w:pPr>
            <w:r>
              <w:t xml:space="preserve">Risk and opportunity ledger and measure tracking records</w:t>
            </w:r>
          </w:p>
        </w:tc>
        <w:tc>
          <w:p>
            <w:pPr>
              <w:pStyle w:val="Compact"/>
              <w:jc w:val="left"/>
            </w:pPr>
            <w:r>
              <w:t xml:space="preserve">Quality Department</w:t>
            </w:r>
          </w:p>
        </w:tc>
        <w:tc>
          <w:p>
            <w:pPr>
              <w:pStyle w:val="Compact"/>
              <w:jc w:val="left"/>
            </w:pPr>
            <w:r>
              <w:t xml:space="preserve">“</w:t>
            </w:r>
            <w:r>
              <w:t xml:space="preserve">Analysis of Risk and Opportunity Measure Effectiveness</w:t>
            </w:r>
            <w:r>
              <w:t xml:space="preserve">”</w:t>
            </w:r>
          </w:p>
        </w:tc>
        <w:tc>
          <w:p>
            <w:pPr>
              <w:pStyle w:val="Compact"/>
              <w:jc w:val="left"/>
            </w:pPr>
            <w:r>
              <w:t xml:space="preserve">T-25</w:t>
            </w:r>
          </w:p>
        </w:tc>
      </w:tr>
      <w:tr>
        <w:tc>
          <w:p>
            <w:pPr>
              <w:pStyle w:val="Compact"/>
              <w:jc w:val="left"/>
            </w:pPr>
            <w:r>
              <w:t xml:space="preserve">12</w:t>
            </w:r>
          </w:p>
        </w:tc>
        <w:tc>
          <w:p>
            <w:pPr>
              <w:pStyle w:val="Compact"/>
              <w:jc w:val="left"/>
            </w:pPr>
            <w:r>
              <w:t xml:space="preserve">f) Opportunities for improvement</w:t>
            </w:r>
          </w:p>
        </w:tc>
        <w:tc>
          <w:p>
            <w:pPr>
              <w:pStyle w:val="Compact"/>
              <w:jc w:val="left"/>
            </w:pPr>
            <w:r>
              <w:t xml:space="preserve">Improvement suggestions and proposals from all departments</w:t>
            </w:r>
          </w:p>
        </w:tc>
        <w:tc>
          <w:p>
            <w:pPr>
              <w:pStyle w:val="Compact"/>
              <w:jc w:val="left"/>
            </w:pPr>
            <w:r>
              <w:t xml:space="preserve">All Departments</w:t>
            </w:r>
          </w:p>
        </w:tc>
        <w:tc>
          <w:p>
            <w:pPr>
              <w:pStyle w:val="Compact"/>
              <w:jc w:val="left"/>
            </w:pPr>
            <w:r>
              <w:t xml:space="preserve">“</w:t>
            </w:r>
            <w:r>
              <w:t xml:space="preserve">Summary of Improvement Opportunities</w:t>
            </w:r>
            <w:r>
              <w:t xml:space="preserve">”</w:t>
            </w:r>
          </w:p>
        </w:tc>
        <w:tc>
          <w:p>
            <w:pPr>
              <w:pStyle w:val="Compact"/>
              <w:jc w:val="left"/>
            </w:pPr>
            <w:r>
              <w:t xml:space="preserve">T-25</w:t>
            </w:r>
          </w:p>
        </w:tc>
      </w:tr>
    </w:tbl>
    <w:p>
      <w:pPr>
        <w:pStyle w:val="BodyText"/>
      </w:pPr>
      <w:r>
        <w:t xml:space="preserve">4.1.2 In the table,</w:t>
      </w:r>
      <w:r>
        <w:t xml:space="preserve"> </w:t>
      </w:r>
      <w:r>
        <w:t xml:space="preserve">“</w:t>
      </w:r>
      <w:r>
        <w:t xml:space="preserve">T</w:t>
      </w:r>
      <w:r>
        <w:t xml:space="preserve">”</w:t>
      </w:r>
      <w:r>
        <w:t xml:space="preserve"> </w:t>
      </w:r>
      <w:r>
        <w:t xml:space="preserve">refers to the date of the management review meeting, and T-25 indicates 25 days before the meeting. The responsible department should explain each item in detail at the kick-off meeting to avoid departments filling out the forms based on their own understanding.</w:t>
      </w:r>
    </w:p>
    <w:p>
      <w:pPr>
        <w:pStyle w:val="BodyText"/>
      </w:pPr>
      <w:r>
        <w:t xml:space="preserve">4.1.3 The data statistical period for input materials is uniformly from the end of the last management review to the end of the month before the current meeting, with any period less than a full month being prorated and noted in the explanation; different departments must not choose their own statistical intervals.</w:t>
      </w:r>
    </w:p>
    <w:p>
      <w:pPr>
        <w:pStyle w:val="Heading3"/>
      </w:pPr>
      <w:bookmarkStart w:id="26" w:name="preparation-schedule-and-process"/>
      <w:r>
        <w:t xml:space="preserve">4.2 Preparation Schedule and Process</w:t>
      </w:r>
      <w:bookmarkEnd w:id="26"/>
    </w:p>
    <w:p>
      <w:pPr>
        <w:pStyle w:val="FirstParagraph"/>
      </w:pPr>
      <w:r>
        <w:t xml:space="preserve">4.2.1 The overall input preparation should proceed according to the following timeline, and the Quality Department should issue the schedule in written form to the heads of all departments:</w:t>
      </w:r>
    </w:p>
    <w:p>
      <w:pPr>
        <w:pStyle w:val="SourceCode"/>
      </w:pPr>
      <w:r>
        <w:rPr>
          <w:rStyle w:val="VerbatimChar"/>
        </w:rPr>
        <w:t xml:space="preserve">T-35  Determine review date, key topics, and participant list (Management Representative + Quality Department)</w:t>
      </w:r>
      <w:r>
        <w:br/>
      </w:r>
      <w:r>
        <w:rPr>
          <w:rStyle w:val="VerbatimChar"/>
        </w:rPr>
        <w:t xml:space="preserve">  |</w:t>
      </w:r>
      <w:r>
        <w:br/>
      </w:r>
      <w:r>
        <w:rPr>
          <w:rStyle w:val="VerbatimChar"/>
        </w:rPr>
        <w:t xml:space="preserve">T-30  Issue the "Management Review Input Material List" and complete set of templates, hold the input preparation kick-off meeting, and communicate data criteria</w:t>
      </w:r>
      <w:r>
        <w:br/>
      </w:r>
      <w:r>
        <w:rPr>
          <w:rStyle w:val="VerbatimChar"/>
        </w:rPr>
        <w:t xml:space="preserve">  |</w:t>
      </w:r>
      <w:r>
        <w:br/>
      </w:r>
      <w:r>
        <w:rPr>
          <w:rStyle w:val="VerbatimChar"/>
        </w:rPr>
        <w:t xml:space="preserve">T-28～T-26  Data collection by each department (cross-departmental data coordinated by the responsible department)</w:t>
      </w:r>
      <w:r>
        <w:br/>
      </w:r>
      <w:r>
        <w:rPr>
          <w:rStyle w:val="VerbatimChar"/>
        </w:rPr>
        <w:t xml:space="preserve">  |</w:t>
      </w:r>
      <w:r>
        <w:br/>
      </w:r>
      <w:r>
        <w:rPr>
          <w:rStyle w:val="VerbatimChar"/>
        </w:rPr>
        <w:t xml:space="preserve">T-25  Each department submits its input package (electronic version + signed by the head)</w:t>
      </w:r>
      <w:r>
        <w:br/>
      </w:r>
      <w:r>
        <w:rPr>
          <w:rStyle w:val="VerbatimChar"/>
        </w:rPr>
        <w:t xml:space="preserve">  |</w:t>
      </w:r>
      <w:r>
        <w:br/>
      </w:r>
      <w:r>
        <w:rPr>
          <w:rStyle w:val="VerbatimChar"/>
        </w:rPr>
        <w:t xml:space="preserve">T-24～T-18  Cross-verification by the responsible department: indicator definitions, statistical intervals, denominator criteria, consistency with ledgers/financial data</w:t>
      </w:r>
      <w:r>
        <w:br/>
      </w:r>
      <w:r>
        <w:rPr>
          <w:rStyle w:val="VerbatimChar"/>
        </w:rPr>
        <w:t xml:space="preserve">  |          (Questions returned to departments for clarification within 2 working days, departments respond within 2 working days)</w:t>
      </w:r>
      <w:r>
        <w:br/>
      </w:r>
      <w:r>
        <w:rPr>
          <w:rStyle w:val="VerbatimChar"/>
        </w:rPr>
        <w:t xml:space="preserve">T-17～T-12  Consolidation and merging by the responsible department, forming the "Management Review Input Report" (including trend charts and conclusions)</w:t>
      </w:r>
      <w:r>
        <w:br/>
      </w:r>
      <w:r>
        <w:rPr>
          <w:rStyle w:val="VerbatimChar"/>
        </w:rPr>
        <w:t xml:space="preserve">  |</w:t>
      </w:r>
      <w:r>
        <w:br/>
      </w:r>
      <w:r>
        <w:rPr>
          <w:rStyle w:val="VerbatimChar"/>
        </w:rPr>
        <w:t xml:space="preserve">T-11～T-9   Report reviewed by the Management Representative, revised according to comments; data criteria disputes resolved by the Management Representative</w:t>
      </w:r>
      <w:r>
        <w:br/>
      </w:r>
      <w:r>
        <w:rPr>
          <w:rStyle w:val="VerbatimChar"/>
        </w:rPr>
        <w:t xml:space="preserve">  |</w:t>
      </w:r>
      <w:r>
        <w:br/>
      </w:r>
      <w:r>
        <w:rPr>
          <w:rStyle w:val="VerbatimChar"/>
        </w:rPr>
        <w:t xml:space="preserve">T-8   Final report reviewed by the General Manager, and attachments prepared according to topics (nonconformity list, supplier directory, etc.)</w:t>
      </w:r>
      <w:r>
        <w:br/>
      </w:r>
      <w:r>
        <w:rPr>
          <w:rStyle w:val="VerbatimChar"/>
        </w:rPr>
        <w:t xml:space="preserve">  |</w:t>
      </w:r>
      <w:r>
        <w:br/>
      </w:r>
      <w:r>
        <w:rPr>
          <w:rStyle w:val="VerbatimChar"/>
        </w:rPr>
        <w:t xml:space="preserve">T-7   Material package printed and distributed to all participants (electronic version sent simultaneously), including reading preparation prompts</w:t>
      </w:r>
      <w:r>
        <w:br/>
      </w:r>
      <w:r>
        <w:rPr>
          <w:rStyle w:val="VerbatimChar"/>
        </w:rPr>
        <w:t xml:space="preserve">  |</w:t>
      </w:r>
      <w:r>
        <w:br/>
      </w:r>
      <w:r>
        <w:rPr>
          <w:rStyle w:val="VerbatimChar"/>
        </w:rPr>
        <w:t xml:space="preserve">T-3   Participant confirmation, venue and equipment preparation, designation of meeting recorder</w:t>
      </w:r>
      <w:r>
        <w:br/>
      </w:r>
      <w:r>
        <w:rPr>
          <w:rStyle w:val="VerbatimChar"/>
        </w:rPr>
        <w:t xml:space="preserve">  |</w:t>
      </w:r>
      <w:r>
        <w:br/>
      </w:r>
      <w:r>
        <w:rPr>
          <w:rStyle w:val="VerbatimChar"/>
        </w:rPr>
        <w:t xml:space="preserve">T     Management review meeting held (meeting organization and output follow QP-26)</w:t>
      </w:r>
      <w:r>
        <w:br/>
      </w:r>
      <w:r>
        <w:rPr>
          <w:rStyle w:val="VerbatimChar"/>
        </w:rPr>
        <w:t xml:space="preserve">  |</w:t>
      </w:r>
      <w:r>
        <w:br/>
      </w:r>
      <w:r>
        <w:rPr>
          <w:rStyle w:val="VerbatimChar"/>
        </w:rPr>
        <w:t xml:space="preserve">T+3   Review decisions and rectification items distributed to responsible departments</w:t>
      </w:r>
      <w:r>
        <w:br/>
      </w:r>
      <w:r>
        <w:rPr>
          <w:rStyle w:val="VerbatimChar"/>
        </w:rPr>
        <w:t xml:space="preserve">  |</w:t>
      </w:r>
      <w:r>
        <w:br/>
      </w:r>
      <w:r>
        <w:rPr>
          <w:rStyle w:val="VerbatimChar"/>
        </w:rPr>
        <w:t xml:space="preserve">T+5   Rectification items initiated and included in the "Action Tracking Form"</w:t>
      </w:r>
      <w:r>
        <w:br/>
      </w:r>
      <w:r>
        <w:rPr>
          <w:rStyle w:val="VerbatimChar"/>
        </w:rPr>
        <w:t xml:space="preserve">  |</w:t>
      </w:r>
      <w:r>
        <w:br/>
      </w:r>
      <w:r>
        <w:rPr>
          <w:rStyle w:val="VerbatimChar"/>
        </w:rPr>
        <w:t xml:space="preserve">T+10  Input materials, meeting records, and resolution lists archived</w:t>
      </w:r>
    </w:p>
    <w:p>
      <w:pPr>
        <w:pStyle w:val="FirstParagraph"/>
      </w:pPr>
      <w:r>
        <w:t xml:space="preserve">4.2.2 If any department cannot submit on time due to special circumstances, it should apply in writing to the Quality Department for an extension at least 3 days before the deadline. The extension should not exceed 5 days and should not affect the finalization of the report or the requirement to distribute it 7 days in advance.</w:t>
      </w:r>
    </w:p>
    <w:p>
      <w:pPr>
        <w:pStyle w:val="BodyText"/>
      </w:pPr>
      <w:r>
        <w:t xml:space="preserve">4.2.3 If a department fails to submit on time and does not apply for an extension, the Quality Department should record this and truthfully explain the missing input in the</w:t>
      </w:r>
      <w:r>
        <w:t xml:space="preserve"> </w:t>
      </w:r>
      <w:r>
        <w:t xml:space="preserve">“</w:t>
      </w:r>
      <w:r>
        <w:t xml:space="preserve">Management Review Input Report,</w:t>
      </w:r>
      <w:r>
        <w:t xml:space="preserve">”</w:t>
      </w:r>
      <w:r>
        <w:t xml:space="preserve"> </w:t>
      </w:r>
      <w:r>
        <w:t xml:space="preserve">which will be reported by the Management Representative at the meeting. This itself is an observation item for the management review.</w:t>
      </w:r>
    </w:p>
    <w:p>
      <w:pPr>
        <w:pStyle w:val="Heading3"/>
      </w:pPr>
      <w:bookmarkStart w:id="27" w:name="X9930968cb9f03a972fadcf48c64c87b7eeca2a8"/>
      <w:r>
        <w:t xml:space="preserve">4.3 Compilation Requirements for Departmental Input Packages</w:t>
      </w:r>
      <w:bookmarkEnd w:id="27"/>
    </w:p>
    <w:p>
      <w:pPr>
        <w:pStyle w:val="FirstParagraph"/>
      </w:pPr>
      <w:r>
        <w:t xml:space="preserve">4.3.1 Departmental input packages must be compiled according to a uniform structure and should not be just a data table or a text explanation. The standard structure is as follows:</w:t>
      </w:r>
    </w:p>
    <w:p>
      <w:pPr>
        <w:numPr>
          <w:ilvl w:val="0"/>
          <w:numId w:val="1002"/>
        </w:numPr>
        <w:pStyle w:val="Compact"/>
      </w:pPr>
      <w:r>
        <w:rPr>
          <w:b/>
        </w:rPr>
        <w:t xml:space="preserve">Current Indicator Achievement</w:t>
      </w:r>
      <w:r>
        <w:t xml:space="preserve">: Indicator name, target value, current actual value, achievement rate, comparison with the previous period, and comparison with the same period last year;</w:t>
      </w:r>
    </w:p>
    <w:p>
      <w:pPr>
        <w:numPr>
          <w:ilvl w:val="0"/>
          <w:numId w:val="1002"/>
        </w:numPr>
        <w:pStyle w:val="Compact"/>
      </w:pPr>
      <w:r>
        <w:rPr>
          <w:b/>
        </w:rPr>
        <w:t xml:space="preserve">Trends and Distributions</w:t>
      </w:r>
      <w:r>
        <w:t xml:space="preserve">: At least one trend chart or Pareto chart (sorted by occurrence frequency) should be included, indicating the main issues and their proportions;</w:t>
      </w:r>
    </w:p>
    <w:p>
      <w:pPr>
        <w:numPr>
          <w:ilvl w:val="0"/>
          <w:numId w:val="1002"/>
        </w:numPr>
        <w:pStyle w:val="Compact"/>
      </w:pPr>
      <w:r>
        <w:rPr>
          <w:b/>
        </w:rPr>
        <w:t xml:space="preserve">Cause Analysis</w:t>
      </w:r>
      <w:r>
        <w:t xml:space="preserve">: Provide cause analysis for indicators that have not met the target or show abnormal fluctuations, distinguishing between sporadic and systemic factors;</w:t>
      </w:r>
    </w:p>
    <w:p>
      <w:pPr>
        <w:numPr>
          <w:ilvl w:val="0"/>
          <w:numId w:val="1002"/>
        </w:numPr>
        <w:pStyle w:val="Compact"/>
      </w:pPr>
      <w:r>
        <w:rPr>
          <w:b/>
        </w:rPr>
        <w:t xml:space="preserve">Measures Taken and Their Effects</w:t>
      </w:r>
      <w:r>
        <w:t xml:space="preserve">: Content of measures, implementation time, verification method, and current status (effective/partially effective/ineffective);</w:t>
      </w:r>
    </w:p>
    <w:p>
      <w:pPr>
        <w:numPr>
          <w:ilvl w:val="0"/>
          <w:numId w:val="1002"/>
        </w:numPr>
        <w:pStyle w:val="Compact"/>
      </w:pPr>
      <w:r>
        <w:rPr>
          <w:b/>
        </w:rPr>
        <w:t xml:space="preserve">Resource Requirements</w:t>
      </w:r>
      <w:r>
        <w:t xml:space="preserve">: Human resources, equipment, facilities, budget, and reasons for the requirements, along with the consequences of not investing;</w:t>
      </w:r>
    </w:p>
    <w:p>
      <w:pPr>
        <w:numPr>
          <w:ilvl w:val="0"/>
          <w:numId w:val="1002"/>
        </w:numPr>
        <w:pStyle w:val="Compact"/>
      </w:pPr>
      <w:r>
        <w:rPr>
          <w:b/>
        </w:rPr>
        <w:t xml:space="preserve">Improvement Opportunities and Suggestions</w:t>
      </w:r>
      <w:r>
        <w:t xml:space="preserve">: Suggestions for process optimization, standard revision, capability enhancement, etc., proposed by the department;</w:t>
      </w:r>
    </w:p>
    <w:p>
      <w:pPr>
        <w:numPr>
          <w:ilvl w:val="0"/>
          <w:numId w:val="1002"/>
        </w:numPr>
        <w:pStyle w:val="Compact"/>
      </w:pPr>
      <w:r>
        <w:rPr>
          <w:b/>
        </w:rPr>
        <w:t xml:space="preserve">Data Explanation</w:t>
      </w:r>
      <w:r>
        <w:t xml:space="preserve">: Statistical interval, data source, special criteria explanations, and handling of abnormal values.</w:t>
      </w:r>
    </w:p>
    <w:p>
      <w:pPr>
        <w:pStyle w:val="FirstParagraph"/>
      </w:pPr>
      <w:r>
        <w:t xml:space="preserve">4.3.2 Departmental input packages must be signed by the department head (paper or electronic signature) before submission, with the signature indicating responsibility for the authenticity of the department’s data.</w:t>
      </w:r>
    </w:p>
    <w:p>
      <w:pPr>
        <w:pStyle w:val="BodyText"/>
      </w:pPr>
      <w:r>
        <w:t xml:space="preserve">4.3.3 For cross-departmental indicators (such as on-time delivery rate involving sales, production, and warehousing), the responsible department should designate a</w:t>
      </w:r>
      <w:r>
        <w:t xml:space="preserve"> </w:t>
      </w:r>
      <w:r>
        <w:t xml:space="preserve">“</w:t>
      </w:r>
      <w:r>
        <w:t xml:space="preserve">primary data collection department,</w:t>
      </w:r>
      <w:r>
        <w:t xml:space="preserve">”</w:t>
      </w:r>
      <w:r>
        <w:t xml:space="preserve"> </w:t>
      </w:r>
      <w:r>
        <w:t xml:space="preserve">with other departments providing supporting data to avoid multiple versions of the same indicator.</w:t>
      </w:r>
    </w:p>
    <w:p>
      <w:pPr>
        <w:pStyle w:val="Heading3"/>
      </w:pPr>
      <w:bookmarkStart w:id="28" w:name="X7b23803b2fe88ce4c823ae1c770b07a56d5cfda"/>
      <w:r>
        <w:t xml:space="preserve">4.4 Consolidation and Verification by the Responsible Department</w:t>
      </w:r>
      <w:bookmarkEnd w:id="28"/>
    </w:p>
    <w:p>
      <w:pPr>
        <w:pStyle w:val="FirstParagraph"/>
      </w:pPr>
      <w:r>
        <w:t xml:space="preserve">4.4.1 After receiving the input packages from all departments, the Quality Department should complete the following verifications for each item, with verification records archived:</w:t>
      </w:r>
    </w:p>
    <w:p>
      <w:pPr>
        <w:numPr>
          <w:ilvl w:val="0"/>
          <w:numId w:val="1003"/>
        </w:numPr>
        <w:pStyle w:val="Compact"/>
      </w:pPr>
      <w:r>
        <w:rPr>
          <w:b/>
        </w:rPr>
        <w:t xml:space="preserve">Definition Verification</w:t>
      </w:r>
      <w:r>
        <w:t xml:space="preserve">: Whether the indicator definitions are consistent with the</w:t>
      </w:r>
      <w:r>
        <w:t xml:space="preserve"> </w:t>
      </w:r>
      <w:r>
        <w:t xml:space="preserve">“</w:t>
      </w:r>
      <w:r>
        <w:t xml:space="preserve">Quality Objective Decomposition Table</w:t>
      </w:r>
      <w:r>
        <w:t xml:space="preserve">”</w:t>
      </w:r>
      <w:r>
        <w:t xml:space="preserve"> </w:t>
      </w:r>
      <w:r>
        <w:t xml:space="preserve">and procedure documents, and whether departments have changed the criteria on their own;</w:t>
      </w:r>
    </w:p>
    <w:p>
      <w:pPr>
        <w:numPr>
          <w:ilvl w:val="0"/>
          <w:numId w:val="1003"/>
        </w:numPr>
        <w:pStyle w:val="Compact"/>
      </w:pPr>
      <w:r>
        <w:rPr>
          <w:b/>
        </w:rPr>
        <w:t xml:space="preserve">Interval Verification</w:t>
      </w:r>
      <w:r>
        <w:t xml:space="preserve">: Whether the statistical intervals are the same as the specified intervals, and whether there is any</w:t>
      </w:r>
      <w:r>
        <w:t xml:space="preserve"> </w:t>
      </w:r>
      <w:r>
        <w:t xml:space="preserve">“</w:t>
      </w:r>
      <w:r>
        <w:t xml:space="preserve">cherry-picking</w:t>
      </w:r>
      <w:r>
        <w:t xml:space="preserve">”</w:t>
      </w:r>
      <w:r>
        <w:t xml:space="preserve"> </w:t>
      </w:r>
      <w:r>
        <w:t xml:space="preserve">of favorable data;</w:t>
      </w:r>
    </w:p>
    <w:p>
      <w:pPr>
        <w:numPr>
          <w:ilvl w:val="0"/>
          <w:numId w:val="1003"/>
        </w:numPr>
        <w:pStyle w:val="Compact"/>
      </w:pPr>
      <w:r>
        <w:rPr>
          <w:b/>
        </w:rPr>
        <w:t xml:space="preserve">Denominator Verification</w:t>
      </w:r>
      <w:r>
        <w:t xml:space="preserve">: Whether the numerator and denominator of ratio indicators are from the same source, and whether there is any inconsistency in the denominator criteria leading to horizontal incomparability;</w:t>
      </w:r>
    </w:p>
    <w:p>
      <w:pPr>
        <w:numPr>
          <w:ilvl w:val="0"/>
          <w:numId w:val="1003"/>
        </w:numPr>
        <w:pStyle w:val="Compact"/>
      </w:pPr>
      <w:r>
        <w:rPr>
          <w:b/>
        </w:rPr>
        <w:t xml:space="preserve">Cross-Verification</w:t>
      </w:r>
      <w:r>
        <w:t xml:space="preserve">: Whether the same fact has consistent values in different departmental inputs, such as the number of customer complaints and the nonconforming product ledger of the Quality Department, or the incoming material nonconformity and production usage anomalies;</w:t>
      </w:r>
    </w:p>
    <w:p>
      <w:pPr>
        <w:numPr>
          <w:ilvl w:val="0"/>
          <w:numId w:val="1003"/>
        </w:numPr>
        <w:pStyle w:val="Compact"/>
      </w:pPr>
      <w:r>
        <w:rPr>
          <w:b/>
        </w:rPr>
        <w:t xml:space="preserve">Consistency Verification</w:t>
      </w:r>
      <w:r>
        <w:t xml:space="preserve">: Whether the data in the system report can be reconciled with operational data from procurement and finance, and whether explanations are provided if they cannot be reconciled;</w:t>
      </w:r>
    </w:p>
    <w:p>
      <w:pPr>
        <w:numPr>
          <w:ilvl w:val="0"/>
          <w:numId w:val="1003"/>
        </w:numPr>
        <w:pStyle w:val="Compact"/>
      </w:pPr>
      <w:r>
        <w:rPr>
          <w:b/>
        </w:rPr>
        <w:t xml:space="preserve">Completeness Verification</w:t>
      </w:r>
      <w:r>
        <w:t xml:space="preserve">: Check each item against the table in 4.1.1, and return any missing, blank, or simply labeled</w:t>
      </w:r>
      <w:r>
        <w:t xml:space="preserve"> </w:t>
      </w:r>
      <w:r>
        <w:t xml:space="preserve">“</w:t>
      </w:r>
      <w:r>
        <w:t xml:space="preserve">normal</w:t>
      </w:r>
      <w:r>
        <w:t xml:space="preserve">”</w:t>
      </w:r>
      <w:r>
        <w:t xml:space="preserve"> </w:t>
      </w:r>
      <w:r>
        <w:t xml:space="preserve">items for supplementation.</w:t>
      </w:r>
    </w:p>
    <w:p>
      <w:pPr>
        <w:pStyle w:val="FirstParagraph"/>
      </w:pPr>
      <w:r>
        <w:t xml:space="preserve">4.4.2 Questions discovered during verification should be returned to the department in the form of a</w:t>
      </w:r>
      <w:r>
        <w:t xml:space="preserve"> </w:t>
      </w:r>
      <w:r>
        <w:t xml:space="preserve">“</w:t>
      </w:r>
      <w:r>
        <w:t xml:space="preserve">Data Clarification Form,</w:t>
      </w:r>
      <w:r>
        <w:t xml:space="preserve">”</w:t>
      </w:r>
      <w:r>
        <w:t xml:space="preserve"> </w:t>
      </w:r>
      <w:r>
        <w:t xml:space="preserve">with the department required to respond in writing within 2 working days. If the response still does not resolve the issue, the Quality Department should truthfully label</w:t>
      </w:r>
      <w:r>
        <w:t xml:space="preserve"> </w:t>
      </w:r>
      <w:r>
        <w:t xml:space="preserve">“</w:t>
      </w:r>
      <w:r>
        <w:t xml:space="preserve">Data discrepancy, pending verification</w:t>
      </w:r>
      <w:r>
        <w:t xml:space="preserve">”</w:t>
      </w:r>
      <w:r>
        <w:t xml:space="preserve"> </w:t>
      </w:r>
      <w:r>
        <w:t xml:space="preserve">in the report without modifying the department’s data.</w:t>
      </w:r>
    </w:p>
    <w:p>
      <w:pPr>
        <w:pStyle w:val="BodyText"/>
      </w:pPr>
      <w:r>
        <w:t xml:space="preserve">4.4.3 The consolidated draft should complete three processes: first, merge similar data into a system-level indicator system (to avoid each of the twenty departments reporting a pile of indicators); second, add trend judgment conclusions (up/down/stable/abnormal fluctuation) for each key indicator; third, reclassify inputs into</w:t>
      </w:r>
      <w:r>
        <w:t xml:space="preserve"> </w:t>
      </w:r>
      <w:r>
        <w:t xml:space="preserve">“</w:t>
      </w:r>
      <w:r>
        <w:t xml:space="preserve">performance—conformity—risk—resource—improvement</w:t>
      </w:r>
      <w:r>
        <w:t xml:space="preserve">”</w:t>
      </w:r>
      <w:r>
        <w:t xml:space="preserve"> </w:t>
      </w:r>
      <w:r>
        <w:t xml:space="preserve">categories to align with the meeting agenda.</w:t>
      </w:r>
    </w:p>
    <w:p>
      <w:pPr>
        <w:pStyle w:val="Heading3"/>
      </w:pPr>
      <w:bookmarkStart w:id="29" w:name="self-check-for-input-completeness"/>
      <w:r>
        <w:t xml:space="preserve">4.5 Self-Check for Input Completeness</w:t>
      </w:r>
      <w:bookmarkEnd w:id="29"/>
    </w:p>
    <w:p>
      <w:pPr>
        <w:pStyle w:val="FirstParagraph"/>
      </w:pPr>
      <w:r>
        <w:t xml:space="preserve">4.5.1 Before the finalization of the report, the Quality Department should check each item against the following list, and only submit for review after all items pass:</w:t>
      </w:r>
    </w:p>
    <w:p>
      <w:pPr>
        <w:numPr>
          <w:ilvl w:val="0"/>
          <w:numId w:val="1004"/>
        </w:numPr>
        <w:pStyle w:val="Compact"/>
      </w:pPr>
      <w:r>
        <w:t xml:space="preserve">☐ Each measure from the previous review has an implementation status explanation, with reasons and new deadlines for incomplete measures;</w:t>
      </w:r>
    </w:p>
    <w:p>
      <w:pPr>
        <w:numPr>
          <w:ilvl w:val="0"/>
          <w:numId w:val="1004"/>
        </w:numPr>
        <w:pStyle w:val="Compact"/>
      </w:pPr>
      <w:r>
        <w:t xml:space="preserve">☐ Each sub-objective of the quality objectives has achievement data, with reasons noted for unmet objectives;</w:t>
      </w:r>
    </w:p>
    <w:p>
      <w:pPr>
        <w:numPr>
          <w:ilvl w:val="0"/>
          <w:numId w:val="1004"/>
        </w:numPr>
        <w:pStyle w:val="Compact"/>
      </w:pPr>
      <w:r>
        <w:t xml:space="preserve">☐ Customer satisfaction data includes survey methods, sample size, response rate, and scoring criteria;</w:t>
      </w:r>
    </w:p>
    <w:p>
      <w:pPr>
        <w:numPr>
          <w:ilvl w:val="0"/>
          <w:numId w:val="1004"/>
        </w:numPr>
        <w:pStyle w:val="Compact"/>
      </w:pPr>
      <w:r>
        <w:t xml:space="preserve">☐ Customer complaints include the number of cases, classification, timely handling rate, and repeat complaint situations;</w:t>
      </w:r>
    </w:p>
    <w:p>
      <w:pPr>
        <w:numPr>
          <w:ilvl w:val="0"/>
          <w:numId w:val="1004"/>
        </w:numPr>
        <w:pStyle w:val="Compact"/>
      </w:pPr>
      <w:r>
        <w:t xml:space="preserve">☐ Nonconformity data includes incoming, process, finished product, and post-delivery stages, with the distribution of nonconforming product handling methods;</w:t>
      </w:r>
    </w:p>
    <w:p>
      <w:pPr>
        <w:numPr>
          <w:ilvl w:val="0"/>
          <w:numId w:val="1004"/>
        </w:numPr>
        <w:pStyle w:val="Compact"/>
      </w:pPr>
      <w:r>
        <w:t xml:space="preserve">☐ All internal and external audit findings are listed, including nonconformity levels, rectification status, and verification conclusions;</w:t>
      </w:r>
    </w:p>
    <w:p>
      <w:pPr>
        <w:numPr>
          <w:ilvl w:val="0"/>
          <w:numId w:val="1004"/>
        </w:numPr>
        <w:pStyle w:val="Compact"/>
      </w:pPr>
      <w:r>
        <w:t xml:space="preserve">☐ External supplier performance includes evaluation scores, grading results, and situations of elimination and addition;</w:t>
      </w:r>
    </w:p>
    <w:p>
      <w:pPr>
        <w:numPr>
          <w:ilvl w:val="0"/>
          <w:numId w:val="1004"/>
        </w:numPr>
        <w:pStyle w:val="Compact"/>
      </w:pPr>
      <w:r>
        <w:t xml:space="preserve">☐ Adequacy of resources has a conclusive judgment, not just a list of current resource status;</w:t>
      </w:r>
    </w:p>
    <w:p>
      <w:pPr>
        <w:numPr>
          <w:ilvl w:val="0"/>
          <w:numId w:val="1004"/>
        </w:numPr>
        <w:pStyle w:val="Compact"/>
      </w:pPr>
      <w:r>
        <w:t xml:space="preserve">☐ The risk and opportunity ledger corresponds to the effectiveness of measures, with new risks and closed risks noted;</w:t>
      </w:r>
    </w:p>
    <w:p>
      <w:pPr>
        <w:numPr>
          <w:ilvl w:val="0"/>
          <w:numId w:val="1004"/>
        </w:numPr>
        <w:pStyle w:val="Compact"/>
      </w:pPr>
      <w:r>
        <w:t xml:space="preserve">☐ Improvement opportunities have suggestions from responsible departments, avoiding all being written by the Quality Department;</w:t>
      </w:r>
    </w:p>
    <w:p>
      <w:pPr>
        <w:numPr>
          <w:ilvl w:val="0"/>
          <w:numId w:val="1004"/>
        </w:numPr>
        <w:pStyle w:val="Compact"/>
      </w:pPr>
      <w:r>
        <w:t xml:space="preserve">☐ Statistical intervals, data sources, and criteria explanations are complete;</w:t>
      </w:r>
    </w:p>
    <w:p>
      <w:pPr>
        <w:numPr>
          <w:ilvl w:val="0"/>
          <w:numId w:val="1004"/>
        </w:numPr>
        <w:pStyle w:val="Compact"/>
      </w:pPr>
      <w:r>
        <w:t xml:space="preserve">☐ Every number in the report can be traced back to original records or ledgers.</w:t>
      </w:r>
    </w:p>
    <w:p>
      <w:pPr>
        <w:pStyle w:val="FirstParagraph"/>
      </w:pPr>
      <w:r>
        <w:t xml:space="preserve">4.5.2 Missing input items discovered during the self-check should be returned to the department for supplementation. Issues related to consolidation and processing should be addressed by the Quality Department.</w:t>
      </w:r>
    </w:p>
    <w:p>
      <w:pPr>
        <w:pStyle w:val="Heading3"/>
      </w:pPr>
      <w:bookmarkStart w:id="30" w:name="Xc019e6ad790cb18af72bb71e79970011342887b"/>
      <w:r>
        <w:t xml:space="preserve">4.6 Arrangement and Distribution of Meeting Material Packages</w:t>
      </w:r>
      <w:bookmarkEnd w:id="30"/>
    </w:p>
    <w:p>
      <w:pPr>
        <w:pStyle w:val="FirstParagraph"/>
      </w:pPr>
      <w:r>
        <w:t xml:space="preserve">4.6.1 The meeting material package should be bound or combined into a single document in the following order, with a table of contents listed on the cover:</w:t>
      </w:r>
    </w:p>
    <w:p>
      <w:pPr>
        <w:numPr>
          <w:ilvl w:val="0"/>
          <w:numId w:val="1005"/>
        </w:numPr>
        <w:pStyle w:val="Compact"/>
      </w:pPr>
      <w:r>
        <w:t xml:space="preserve">Meeting agenda and participant list;</w:t>
      </w:r>
    </w:p>
    <w:p>
      <w:pPr>
        <w:numPr>
          <w:ilvl w:val="0"/>
          <w:numId w:val="1005"/>
        </w:numPr>
        <w:pStyle w:val="Compact"/>
      </w:pPr>
      <w:r>
        <w:t xml:space="preserve">“</w:t>
      </w:r>
      <w:r>
        <w:t xml:space="preserve">Management Review Input Report</w:t>
      </w:r>
      <w:r>
        <w:t xml:space="preserve">”</w:t>
      </w:r>
      <w:r>
        <w:t xml:space="preserve"> </w:t>
      </w:r>
      <w:r>
        <w:t xml:space="preserve">(consolidated draft, main body);</w:t>
      </w:r>
    </w:p>
    <w:p>
      <w:pPr>
        <w:numPr>
          <w:ilvl w:val="0"/>
          <w:numId w:val="1005"/>
        </w:numPr>
        <w:pStyle w:val="Compact"/>
      </w:pPr>
      <w:r>
        <w:t xml:space="preserve">Appendix 1: Quality objective achievement details;</w:t>
      </w:r>
    </w:p>
    <w:p>
      <w:pPr>
        <w:numPr>
          <w:ilvl w:val="0"/>
          <w:numId w:val="1005"/>
        </w:numPr>
        <w:pStyle w:val="Compact"/>
      </w:pPr>
      <w:r>
        <w:t xml:space="preserve">Appendix 2: Customer satisfaction and complaint analysis;</w:t>
      </w:r>
    </w:p>
    <w:p>
      <w:pPr>
        <w:numPr>
          <w:ilvl w:val="0"/>
          <w:numId w:val="1005"/>
        </w:numPr>
        <w:pStyle w:val="Compact"/>
      </w:pPr>
      <w:r>
        <w:t xml:space="preserve">Appendix 3: Excerpts from the nonconforming product and corrective action ledger;</w:t>
      </w:r>
    </w:p>
    <w:p>
      <w:pPr>
        <w:numPr>
          <w:ilvl w:val="0"/>
          <w:numId w:val="1005"/>
        </w:numPr>
        <w:pStyle w:val="Compact"/>
      </w:pPr>
      <w:r>
        <w:t xml:space="preserve">Appendix 4: Summary of internal and external audit results, nonconformity list;</w:t>
      </w:r>
    </w:p>
    <w:p>
      <w:pPr>
        <w:numPr>
          <w:ilvl w:val="0"/>
          <w:numId w:val="1005"/>
        </w:numPr>
        <w:pStyle w:val="Compact"/>
      </w:pPr>
      <w:r>
        <w:t xml:space="preserve">Appendix 5: Summary of external supplier performance evaluation;</w:t>
      </w:r>
    </w:p>
    <w:p>
      <w:pPr>
        <w:numPr>
          <w:ilvl w:val="0"/>
          <w:numId w:val="1005"/>
        </w:numPr>
        <w:pStyle w:val="Compact"/>
      </w:pPr>
      <w:r>
        <w:t xml:space="preserve">Appendix 6: Risk and opportunity measure effectiveness ledger;</w:t>
      </w:r>
    </w:p>
    <w:p>
      <w:pPr>
        <w:numPr>
          <w:ilvl w:val="0"/>
          <w:numId w:val="1005"/>
        </w:numPr>
        <w:pStyle w:val="Compact"/>
      </w:pPr>
      <w:r>
        <w:t xml:space="preserve">Appendix 7: Follow-up table of measures from the previous management review;</w:t>
      </w:r>
    </w:p>
    <w:p>
      <w:pPr>
        <w:numPr>
          <w:ilvl w:val="0"/>
          <w:numId w:val="1005"/>
        </w:numPr>
        <w:pStyle w:val="Compact"/>
      </w:pPr>
      <w:r>
        <w:t xml:space="preserve">Appendix 8: Consolidated list of resource requirements and improvement opportunities from all departments;</w:t>
      </w:r>
    </w:p>
    <w:p>
      <w:pPr>
        <w:numPr>
          <w:ilvl w:val="0"/>
          <w:numId w:val="1005"/>
        </w:numPr>
        <w:pStyle w:val="Compact"/>
      </w:pPr>
      <w:r>
        <w:t xml:space="preserve">Attached: Blank form for management review outputs (for filling in conclusions and resolutions during the meeting).</w:t>
      </w:r>
    </w:p>
    <w:p>
      <w:pPr>
        <w:pStyle w:val="FirstParagraph"/>
      </w:pPr>
      <w:r>
        <w:t xml:space="preserve">4.6.2 The material package should be distributed 7 days before the meeting, along with a</w:t>
      </w:r>
      <w:r>
        <w:t xml:space="preserve"> </w:t>
      </w:r>
      <w:r>
        <w:t xml:space="preserve">“</w:t>
      </w:r>
      <w:r>
        <w:t xml:space="preserve">reading preparation prompt</w:t>
      </w:r>
      <w:r>
        <w:t xml:space="preserve">”</w:t>
      </w:r>
      <w:r>
        <w:t xml:space="preserve"> </w:t>
      </w:r>
      <w:r>
        <w:t xml:space="preserve">that clearly requires participants to prepare opinions on whether targets can be achieved, whether resources are adequate, and whether risk measures are effective.</w:t>
      </w:r>
    </w:p>
    <w:p>
      <w:pPr>
        <w:pStyle w:val="BodyText"/>
      </w:pPr>
      <w:r>
        <w:t xml:space="preserve">4.6.3 Information involving sensitive financial data or customer names should be handled according to the company’s confidentiality requirements before distribution, but conclusions relevant to the effectiveness of the system should not be deleted due to confidentiality.</w:t>
      </w:r>
    </w:p>
    <w:p>
      <w:pPr>
        <w:pStyle w:val="Heading3"/>
      </w:pPr>
      <w:bookmarkStart w:id="31" w:name="X04bf2b3205ed632aa0e3f7a79111534a953f0ed"/>
      <w:r>
        <w:t xml:space="preserve">4.7 Data Handling Principles in Input Preparation</w:t>
      </w:r>
      <w:bookmarkEnd w:id="31"/>
    </w:p>
    <w:p>
      <w:pPr>
        <w:pStyle w:val="FirstParagraph"/>
      </w:pPr>
      <w:r>
        <w:t xml:space="preserve">4.7.1</w:t>
      </w:r>
      <w:r>
        <w:t xml:space="preserve"> </w:t>
      </w:r>
      <w:r>
        <w:rPr>
          <w:b/>
        </w:rPr>
        <w:t xml:space="preserve">Criteria Priority Principle</w:t>
      </w:r>
      <w:r>
        <w:t xml:space="preserve">: Inconsistent criteria should be unified before discussing conclusions. Under no circumstances should criteria be adjusted to fit the conclusions.</w:t>
      </w:r>
    </w:p>
    <w:p>
      <w:pPr>
        <w:pStyle w:val="BodyText"/>
      </w:pPr>
      <w:r>
        <w:t xml:space="preserve">4.7.2</w:t>
      </w:r>
      <w:r>
        <w:t xml:space="preserve"> </w:t>
      </w:r>
      <w:r>
        <w:rPr>
          <w:b/>
        </w:rPr>
        <w:t xml:space="preserve">Abnormal Value Handling Principle</w:t>
      </w:r>
      <w:r>
        <w:t xml:space="preserve">: Abnormal values should not be directly excluded. They should be annotated in the data explanation, with reasons provided (such as major equipment repairs, abnormal raw material batches, or temporary customer order increases), and results given for both the exclusion and inclusion of abnormal values for meeting judgment.</w:t>
      </w:r>
    </w:p>
    <w:p>
      <w:pPr>
        <w:pStyle w:val="BodyText"/>
      </w:pPr>
      <w:r>
        <w:t xml:space="preserve">4.7.3</w:t>
      </w:r>
      <w:r>
        <w:t xml:space="preserve"> </w:t>
      </w:r>
      <w:r>
        <w:rPr>
          <w:b/>
        </w:rPr>
        <w:t xml:space="preserve">Trend Priority Principle</w:t>
      </w:r>
      <w:r>
        <w:t xml:space="preserve">: A single period value meeting the target does not mean the process is under control. Inputs should provide at least three periods of trends; indicators that have continuously worsened over three months but are still within the target must be highlighted separately.</w:t>
      </w:r>
    </w:p>
    <w:p>
      <w:pPr>
        <w:pStyle w:val="BodyText"/>
      </w:pPr>
      <w:r>
        <w:t xml:space="preserve">4.7.4</w:t>
      </w:r>
      <w:r>
        <w:t xml:space="preserve"> </w:t>
      </w:r>
      <w:r>
        <w:rPr>
          <w:b/>
        </w:rPr>
        <w:t xml:space="preserve">Consistent Denominator Principle</w:t>
      </w:r>
      <w:r>
        <w:t xml:space="preserve">: The numerator and denominator of ratio indicators must come from the same statistical population, and data from different populations should not be divided.</w:t>
      </w:r>
    </w:p>
    <w:p>
      <w:pPr>
        <w:pStyle w:val="Heading3"/>
      </w:pPr>
      <w:bookmarkStart w:id="32" w:name="connection-with-the-meeting-and-outputs"/>
      <w:r>
        <w:t xml:space="preserve">4.8 Connection with the Meeting and Outputs</w:t>
      </w:r>
      <w:bookmarkEnd w:id="32"/>
    </w:p>
    <w:p>
      <w:pPr>
        <w:pStyle w:val="FirstParagraph"/>
      </w:pPr>
      <w:r>
        <w:t xml:space="preserve">4.8.1 After the input report is finalized, the Quality Department should ensure the following three connections: first, compile a</w:t>
      </w:r>
      <w:r>
        <w:t xml:space="preserve"> </w:t>
      </w:r>
      <w:r>
        <w:t xml:space="preserve">“</w:t>
      </w:r>
      <w:r>
        <w:t xml:space="preserve">list of pending decision items</w:t>
      </w:r>
      <w:r>
        <w:t xml:space="preserve">”</w:t>
      </w:r>
      <w:r>
        <w:t xml:space="preserve"> </w:t>
      </w:r>
      <w:r>
        <w:t xml:space="preserve">from unmet items, recurring items, and resource gaps, and submit it with the material package; second, clearly define the meeting recorder and record format, using the four elements</w:t>
      </w:r>
      <w:r>
        <w:t xml:space="preserve"> </w:t>
      </w:r>
      <w:r>
        <w:t xml:space="preserve">“</w:t>
      </w:r>
      <w:r>
        <w:t xml:space="preserve">conclusion—responsible person—deadline—verification method</w:t>
      </w:r>
      <w:r>
        <w:t xml:space="preserve">”</w:t>
      </w:r>
      <w:r>
        <w:t xml:space="preserve"> </w:t>
      </w:r>
      <w:r>
        <w:t xml:space="preserve">for recording; third, prepare the output record form to fill in the output content required by clause 9.3.3 during the meeting.</w:t>
      </w:r>
    </w:p>
    <w:p>
      <w:pPr>
        <w:pStyle w:val="BodyText"/>
      </w:pPr>
      <w:r>
        <w:t xml:space="preserve">4.8.2 Within 3 days after the meeting (T+3), complete the distribution of resolutions, and within 5 days (T+5), convert each resolution into an item in the</w:t>
      </w:r>
      <w:r>
        <w:t xml:space="preserve"> </w:t>
      </w:r>
      <w:r>
        <w:t xml:space="preserve">“</w:t>
      </w:r>
      <w:r>
        <w:t xml:space="preserve">Action Tracking Form</w:t>
      </w:r>
      <w:r>
        <w:t xml:space="preserve">”</w:t>
      </w:r>
      <w:r>
        <w:t xml:space="preserve"> </w:t>
      </w:r>
      <w:r>
        <w:t xml:space="preserve">and specify the verifier. The verification results should be submitted as item a) in the next management review input, forming a closed loop.</w:t>
      </w:r>
    </w:p>
    <w:p>
      <w:pPr>
        <w:pStyle w:val="Heading3"/>
      </w:pPr>
      <w:bookmarkStart w:id="33" w:name="archiving"/>
      <w:r>
        <w:t xml:space="preserve">4.9 Archiving</w:t>
      </w:r>
      <w:bookmarkEnd w:id="33"/>
    </w:p>
    <w:p>
      <w:pPr>
        <w:pStyle w:val="FirstParagraph"/>
      </w:pPr>
      <w:r>
        <w:t xml:space="preserve">4.9.1 Archiving content includes: input material list and templates, departmental input packages (including signed copies), data clarification forms, input report and all revision drafts, meeting material packages, meeting records, resolution lists, and action tracking forms.</w:t>
      </w:r>
    </w:p>
    <w:p>
      <w:pPr>
        <w:pStyle w:val="BodyText"/>
      </w:pPr>
      <w:r>
        <w:t xml:space="preserve">4.9.2 Management review input materials should be retained for no less than 3 years; for matters involving product safety, regulatory requirements, or customer contract agreements, they should be retained according to the longer period specified in the contract or regulations.</w:t>
      </w:r>
    </w:p>
    <w:p>
      <w:pPr>
        <w:pStyle w:val="BodyText"/>
      </w:pPr>
      <w:r>
        <w:t xml:space="preserve">4.9.3 Archiving should be done on a</w:t>
      </w:r>
      <w:r>
        <w:t xml:space="preserve"> </w:t>
      </w:r>
      <w:r>
        <w:t xml:space="preserve">“</w:t>
      </w:r>
      <w:r>
        <w:t xml:space="preserve">one review, one file</w:t>
      </w:r>
      <w:r>
        <w:t xml:space="preserve">”</w:t>
      </w:r>
      <w:r>
        <w:t xml:space="preserve"> </w:t>
      </w:r>
      <w:r>
        <w:t xml:space="preserve">basis, with each file having a directory and number, and being able to cross-reference with internal and external audit files for quick retrieval during certification audits.</w:t>
      </w:r>
    </w:p>
    <w:p>
      <w:pPr>
        <w:pStyle w:val="Heading2"/>
      </w:pPr>
      <w:bookmarkStart w:id="34" w:name="related-records"/>
      <w:r>
        <w:t xml:space="preserve">5. Related Records</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Compiling Department</w:t>
            </w:r>
          </w:p>
        </w:tc>
        <w:tc>
          <w:tcPr>
            <w:tcBorders>
              <w:bottom w:val="single"/>
            </w:tcBorders>
            <w:vAlign w:val="bottom"/>
          </w:tcPr>
          <w:p>
            <w:pPr>
              <w:pStyle w:val="Compact"/>
              <w:jc w:val="left"/>
            </w:pPr>
            <w:r>
              <w:t xml:space="preserve">Retention Period</w:t>
            </w:r>
          </w:p>
        </w:tc>
      </w:tr>
      <w:tr>
        <w:tc>
          <w:p>
            <w:pPr>
              <w:pStyle w:val="Compact"/>
              <w:jc w:val="left"/>
            </w:pPr>
            <w:r>
              <w:t xml:space="preserve">Management Review Input Material List</w:t>
            </w:r>
          </w:p>
        </w:tc>
        <w:tc>
          <w:p>
            <w:pPr>
              <w:pStyle w:val="Compact"/>
              <w:jc w:val="left"/>
            </w:pPr>
            <w:r>
              <w:t xml:space="preserve">QR-43-01</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Department Input Report (by department)</w:t>
            </w:r>
          </w:p>
        </w:tc>
        <w:tc>
          <w:p>
            <w:pPr>
              <w:pStyle w:val="Compact"/>
              <w:jc w:val="left"/>
            </w:pPr>
            <w:r>
              <w:t xml:space="preserve">QR-43-02</w:t>
            </w:r>
          </w:p>
        </w:tc>
        <w:tc>
          <w:p>
            <w:pPr>
              <w:pStyle w:val="Compact"/>
              <w:jc w:val="left"/>
            </w:pPr>
            <w:r>
              <w:t xml:space="preserve">All Departments</w:t>
            </w:r>
          </w:p>
        </w:tc>
        <w:tc>
          <w:p>
            <w:pPr>
              <w:pStyle w:val="Compact"/>
              <w:jc w:val="left"/>
            </w:pPr>
            <w:r>
              <w:t xml:space="preserve">3 years</w:t>
            </w:r>
          </w:p>
        </w:tc>
      </w:tr>
      <w:tr>
        <w:tc>
          <w:p>
            <w:pPr>
              <w:pStyle w:val="Compact"/>
              <w:jc w:val="left"/>
            </w:pPr>
            <w:r>
              <w:t xml:space="preserve">Data Clarification Form</w:t>
            </w:r>
          </w:p>
        </w:tc>
        <w:tc>
          <w:p>
            <w:pPr>
              <w:pStyle w:val="Compact"/>
              <w:jc w:val="left"/>
            </w:pPr>
            <w:r>
              <w:t xml:space="preserve">QR-43-03</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Data Cross-Verification Record</w:t>
            </w:r>
          </w:p>
        </w:tc>
        <w:tc>
          <w:p>
            <w:pPr>
              <w:pStyle w:val="Compact"/>
              <w:jc w:val="left"/>
            </w:pPr>
            <w:r>
              <w:t xml:space="preserve">QR-43-04</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Management Review Input Report (consolidated draft)</w:t>
            </w:r>
          </w:p>
        </w:tc>
        <w:tc>
          <w:p>
            <w:pPr>
              <w:pStyle w:val="Compact"/>
              <w:jc w:val="left"/>
            </w:pPr>
            <w:r>
              <w:t xml:space="preserve">QR-43-05</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Meeting Material Package Directory and Distribution Record</w:t>
            </w:r>
          </w:p>
        </w:tc>
        <w:tc>
          <w:p>
            <w:pPr>
              <w:pStyle w:val="Compact"/>
              <w:jc w:val="left"/>
            </w:pPr>
            <w:r>
              <w:t xml:space="preserve">QR-43-06</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Follow-up Table of Measures from Previous Review</w:t>
            </w:r>
          </w:p>
        </w:tc>
        <w:tc>
          <w:p>
            <w:pPr>
              <w:pStyle w:val="Compact"/>
              <w:jc w:val="left"/>
            </w:pPr>
            <w:r>
              <w:t xml:space="preserve">QR-43-07</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Management Review Output Record</w:t>
            </w:r>
          </w:p>
        </w:tc>
        <w:tc>
          <w:p>
            <w:pPr>
              <w:pStyle w:val="Compact"/>
              <w:jc w:val="left"/>
            </w:pPr>
            <w:r>
              <w:t xml:space="preserve">QR-43-08</w:t>
            </w:r>
          </w:p>
        </w:tc>
        <w:tc>
          <w:p>
            <w:pPr>
              <w:pStyle w:val="Compact"/>
              <w:jc w:val="left"/>
            </w:pPr>
            <w:r>
              <w:t xml:space="preserve">Quality Department</w:t>
            </w:r>
          </w:p>
        </w:tc>
        <w:tc>
          <w:p>
            <w:pPr>
              <w:pStyle w:val="Compact"/>
              <w:jc w:val="left"/>
            </w:pPr>
            <w:r>
              <w:t xml:space="preserve">Long-term</w:t>
            </w:r>
          </w:p>
        </w:tc>
      </w:tr>
    </w:tbl>
    <w:p>
      <w:pPr>
        <w:pStyle w:val="BodyText"/>
      </w:pPr>
      <w:r>
        <w:rPr>
          <w:b/>
        </w:rPr>
        <w:t xml:space="preserve">Field List and Filling Examples</w:t>
      </w:r>
    </w:p>
    <w:p>
      <w:pPr>
        <w:pStyle w:val="BodyText"/>
      </w:pPr>
      <w:r>
        <w:rPr>
          <w:b/>
        </w:rPr>
        <w:t xml:space="preserve">（1）Management Review Input Material List (QR-43-01)</w:t>
      </w:r>
    </w:p>
    <w:p>
      <w:pPr>
        <w:pStyle w:val="BodyText"/>
      </w:pPr>
      <w:r>
        <w:t xml:space="preserve">Fields: No. | Standard Clause | Input Item Name | Data Source | Providing Department | Data Responsible Person | Deliverable Name | Submission Deadline | Submitted | Submission Date | Head Signature | Remarks.</w:t>
      </w:r>
    </w:p>
    <w:p>
      <w:pPr>
        <w:pStyle w:val="BodyText"/>
      </w:pPr>
      <w:r>
        <w:t xml:space="preserve">Filling Instructions: Issued with the notification on the day of the kick-off meeting;</w:t>
      </w:r>
      <w:r>
        <w:t xml:space="preserve"> </w:t>
      </w:r>
      <w:r>
        <w:t xml:space="preserve">“</w:t>
      </w:r>
      <w:r>
        <w:t xml:space="preserve">Submitted</w:t>
      </w:r>
      <w:r>
        <w:t xml:space="preserve">”</w:t>
      </w:r>
      <w:r>
        <w:t xml:space="preserve"> </w:t>
      </w:r>
      <w:r>
        <w:t xml:space="preserve">is checked by the Quality Department upon receipt of the input package; if the same input is provided by multiple departments, it should be listed separately with each department’s responsible part noted; the submission deadline is filled with the actual date according to T-25, not relative days.</w:t>
      </w:r>
    </w:p>
    <w:p>
      <w:pPr>
        <w:pStyle w:val="BodyText"/>
      </w:pPr>
      <w:r>
        <w:t xml:space="preserve">Example Row:</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Standard Clause</w:t>
            </w:r>
          </w:p>
        </w:tc>
        <w:tc>
          <w:tcPr>
            <w:tcBorders>
              <w:bottom w:val="single"/>
            </w:tcBorders>
            <w:vAlign w:val="bottom"/>
          </w:tcPr>
          <w:p>
            <w:pPr>
              <w:pStyle w:val="Compact"/>
              <w:jc w:val="left"/>
            </w:pPr>
            <w:r>
              <w:t xml:space="preserve">Input Item</w:t>
            </w:r>
          </w:p>
        </w:tc>
        <w:tc>
          <w:tcPr>
            <w:tcBorders>
              <w:bottom w:val="single"/>
            </w:tcBorders>
            <w:vAlign w:val="bottom"/>
          </w:tcPr>
          <w:p>
            <w:pPr>
              <w:pStyle w:val="Compact"/>
              <w:jc w:val="left"/>
            </w:pPr>
            <w:r>
              <w:t xml:space="preserve">Providing Department</w:t>
            </w:r>
          </w:p>
        </w:tc>
        <w:tc>
          <w:tcPr>
            <w:tcBorders>
              <w:bottom w:val="single"/>
            </w:tcBorders>
            <w:vAlign w:val="bottom"/>
          </w:tcPr>
          <w:p>
            <w:pPr>
              <w:pStyle w:val="Compact"/>
              <w:jc w:val="left"/>
            </w:pPr>
            <w:r>
              <w:t xml:space="preserve">Deliverable</w:t>
            </w:r>
          </w:p>
        </w:tc>
        <w:tc>
          <w:tcPr>
            <w:tcBorders>
              <w:bottom w:val="single"/>
            </w:tcBorders>
            <w:vAlign w:val="bottom"/>
          </w:tcPr>
          <w:p>
            <w:pPr>
              <w:pStyle w:val="Compact"/>
              <w:jc w:val="left"/>
            </w:pPr>
            <w:r>
              <w:t xml:space="preserve">Deadline</w:t>
            </w:r>
          </w:p>
        </w:tc>
        <w:tc>
          <w:tcPr>
            <w:tcBorders>
              <w:bottom w:val="single"/>
            </w:tcBorders>
            <w:vAlign w:val="bottom"/>
          </w:tcPr>
          <w:p>
            <w:pPr>
              <w:pStyle w:val="Compact"/>
              <w:jc w:val="left"/>
            </w:pPr>
            <w:r>
              <w:t xml:space="preserve">Submitted</w:t>
            </w:r>
          </w:p>
        </w:tc>
      </w:tr>
      <w:tr>
        <w:tc>
          <w:p>
            <w:pPr>
              <w:pStyle w:val="Compact"/>
              <w:jc w:val="left"/>
            </w:pPr>
            <w:r>
              <w:t xml:space="preserve">3</w:t>
            </w:r>
          </w:p>
        </w:tc>
        <w:tc>
          <w:p>
            <w:pPr>
              <w:pStyle w:val="Compact"/>
              <w:jc w:val="left"/>
            </w:pPr>
            <w:r>
              <w:t xml:space="preserve">9.3.2 c)</w:t>
            </w:r>
          </w:p>
        </w:tc>
        <w:tc>
          <w:p>
            <w:pPr>
              <w:pStyle w:val="Compact"/>
              <w:jc w:val="left"/>
            </w:pPr>
            <w:r>
              <w:t xml:space="preserve">Customer satisfaction and feedback from interested parties</w:t>
            </w:r>
          </w:p>
        </w:tc>
        <w:tc>
          <w:p>
            <w:pPr>
              <w:pStyle w:val="Compact"/>
              <w:jc w:val="left"/>
            </w:pPr>
            <w:r>
              <w:t xml:space="preserve">Sales Department</w:t>
            </w:r>
          </w:p>
        </w:tc>
        <w:tc>
          <w:p>
            <w:pPr>
              <w:pStyle w:val="Compact"/>
              <w:jc w:val="left"/>
            </w:pPr>
            <w:r>
              <w:t xml:space="preserve">“</w:t>
            </w:r>
            <w:r>
              <w:t xml:space="preserve">Customer Satisfaction and Feedback Analysis</w:t>
            </w:r>
            <w:r>
              <w:t xml:space="preserve">”</w:t>
            </w:r>
          </w:p>
        </w:tc>
        <w:tc>
          <w:p>
            <w:pPr>
              <w:pStyle w:val="Compact"/>
              <w:jc w:val="left"/>
            </w:pPr>
            <w:r>
              <w:t xml:space="preserve">2026-10-08</w:t>
            </w:r>
          </w:p>
        </w:tc>
        <w:tc>
          <w:p>
            <w:pPr>
              <w:pStyle w:val="Compact"/>
              <w:jc w:val="left"/>
            </w:pPr>
            <w:r>
              <w:t xml:space="preserve">Yes</w:t>
            </w:r>
          </w:p>
        </w:tc>
      </w:tr>
      <w:tr>
        <w:tc>
          <w:p>
            <w:pPr>
              <w:pStyle w:val="Compact"/>
              <w:jc w:val="left"/>
            </w:pPr>
            <w:r>
              <w:t xml:space="preserve">9</w:t>
            </w:r>
          </w:p>
        </w:tc>
        <w:tc>
          <w:p>
            <w:pPr>
              <w:pStyle w:val="Compact"/>
              <w:jc w:val="left"/>
            </w:pPr>
            <w:r>
              <w:t xml:space="preserve">9.3.2 c)</w:t>
            </w:r>
          </w:p>
        </w:tc>
        <w:tc>
          <w:p>
            <w:pPr>
              <w:pStyle w:val="Compact"/>
              <w:jc w:val="left"/>
            </w:pPr>
            <w:r>
              <w:t xml:space="preserve">Performance of external suppliers</w:t>
            </w:r>
          </w:p>
        </w:tc>
        <w:tc>
          <w:p>
            <w:pPr>
              <w:pStyle w:val="Compact"/>
              <w:jc w:val="left"/>
            </w:pPr>
            <w:r>
              <w:t xml:space="preserve">Purchasing Department</w:t>
            </w:r>
          </w:p>
        </w:tc>
        <w:tc>
          <w:p>
            <w:pPr>
              <w:pStyle w:val="Compact"/>
              <w:jc w:val="left"/>
            </w:pPr>
            <w:r>
              <w:t xml:space="preserve">“</w:t>
            </w:r>
            <w:r>
              <w:t xml:space="preserve">External Supplier Performance Analysis</w:t>
            </w:r>
            <w:r>
              <w:t xml:space="preserve">”</w:t>
            </w:r>
          </w:p>
        </w:tc>
        <w:tc>
          <w:p>
            <w:pPr>
              <w:pStyle w:val="Compact"/>
              <w:jc w:val="left"/>
            </w:pPr>
            <w:r>
              <w:t xml:space="preserve">2026-10-08</w:t>
            </w:r>
          </w:p>
        </w:tc>
        <w:tc>
          <w:p>
            <w:pPr>
              <w:pStyle w:val="Compact"/>
              <w:jc w:val="left"/>
            </w:pPr>
            <w:r>
              <w:t xml:space="preserve">Yes</w:t>
            </w:r>
          </w:p>
        </w:tc>
      </w:tr>
    </w:tbl>
    <w:p>
      <w:pPr>
        <w:pStyle w:val="BodyText"/>
      </w:pPr>
      <w:r>
        <w:rPr>
          <w:b/>
        </w:rPr>
        <w:t xml:space="preserve">（2）Department Input Report (QR-43-02)</w:t>
      </w:r>
    </w:p>
    <w:p>
      <w:pPr>
        <w:pStyle w:val="BodyText"/>
      </w:pPr>
      <w:r>
        <w:t xml:space="preserve">Fields: Department | Reporting Period | Compiler | Head Signature | Current Indicator Achievement (Indicator / Target Value / Actual Value / Achievement Rate / Previous Period Value / Same Period Last Year Value) | Trends and Distributions (Chart Number) | Cause Analysis | Measures Taken and Their Effects | Resource Requirements (Category / Quantity or Amount / Reason) | Improvement Opportunities and Suggestions | Data Explanation.</w:t>
      </w:r>
    </w:p>
    <w:p>
      <w:pPr>
        <w:pStyle w:val="BodyText"/>
      </w:pPr>
      <w:r>
        <w:t xml:space="preserve">Filling Instructions: One report per department, annex tables are not separately numbered; achievement rate is calculated using the uniform formula</w:t>
      </w:r>
      <w:r>
        <w:t xml:space="preserve"> </w:t>
      </w:r>
      <w:r>
        <w:t xml:space="preserve">“</w:t>
      </w:r>
      <w:r>
        <w:t xml:space="preserve">Actual Value ÷ Target Value × 100%</w:t>
      </w:r>
      <w:r>
        <w:t xml:space="preserve">”</w:t>
      </w:r>
      <w:r>
        <w:t xml:space="preserve">; for indicators like nonconformity rate, the formula</w:t>
      </w:r>
      <w:r>
        <w:t xml:space="preserve"> </w:t>
      </w:r>
      <w:r>
        <w:t xml:space="preserve">“</w:t>
      </w:r>
      <w:r>
        <w:t xml:space="preserve">Target Value ÷ Actual Value × 100%</w:t>
      </w:r>
      <w:r>
        <w:t xml:space="preserve">”</w:t>
      </w:r>
      <w:r>
        <w:t xml:space="preserve"> </w:t>
      </w:r>
      <w:r>
        <w:t xml:space="preserve">should be used and noted in the data explanation; cause analysis should distinguish between sporadic and systemic factors, and should not simply state</w:t>
      </w:r>
      <w:r>
        <w:t xml:space="preserve"> </w:t>
      </w:r>
      <w:r>
        <w:t xml:space="preserve">“</w:t>
      </w:r>
      <w:r>
        <w:t xml:space="preserve">insufficient personnel awareness.</w:t>
      </w:r>
      <w:r>
        <w:t xml:space="preserve">”</w:t>
      </w:r>
    </w:p>
    <w:p>
      <w:pPr>
        <w:pStyle w:val="BodyText"/>
      </w:pPr>
      <w:r>
        <w:t xml:space="preserve">Example Row (Indicator Achievement Table):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Indicator</w:t>
            </w:r>
          </w:p>
        </w:tc>
        <w:tc>
          <w:tcPr>
            <w:tcBorders>
              <w:bottom w:val="single"/>
            </w:tcBorders>
            <w:vAlign w:val="bottom"/>
          </w:tcPr>
          <w:p>
            <w:pPr>
              <w:pStyle w:val="Compact"/>
              <w:jc w:val="left"/>
            </w:pPr>
            <w:r>
              <w:t xml:space="preserve">Target Value</w:t>
            </w:r>
          </w:p>
        </w:tc>
        <w:tc>
          <w:tcPr>
            <w:tcBorders>
              <w:bottom w:val="single"/>
            </w:tcBorders>
            <w:vAlign w:val="bottom"/>
          </w:tcPr>
          <w:p>
            <w:pPr>
              <w:pStyle w:val="Compact"/>
              <w:jc w:val="left"/>
            </w:pPr>
            <w:r>
              <w:t xml:space="preserve">Actual Value</w:t>
            </w:r>
          </w:p>
        </w:tc>
        <w:tc>
          <w:tcPr>
            <w:tcBorders>
              <w:bottom w:val="single"/>
            </w:tcBorders>
            <w:vAlign w:val="bottom"/>
          </w:tcPr>
          <w:p>
            <w:pPr>
              <w:pStyle w:val="Compact"/>
              <w:jc w:val="left"/>
            </w:pPr>
            <w:r>
              <w:t xml:space="preserve">Achievement Rate</w:t>
            </w:r>
          </w:p>
        </w:tc>
        <w:tc>
          <w:tcPr>
            <w:tcBorders>
              <w:bottom w:val="single"/>
            </w:tcBorders>
            <w:vAlign w:val="bottom"/>
          </w:tcPr>
          <w:p>
            <w:pPr>
              <w:pStyle w:val="Compact"/>
              <w:jc w:val="left"/>
            </w:pPr>
            <w:r>
              <w:t xml:space="preserve">Previous Period Value</w:t>
            </w:r>
          </w:p>
        </w:tc>
        <w:tc>
          <w:tcPr>
            <w:tcBorders>
              <w:bottom w:val="single"/>
            </w:tcBorders>
            <w:vAlign w:val="bottom"/>
          </w:tcPr>
          <w:p>
            <w:pPr>
              <w:pStyle w:val="Compact"/>
              <w:jc w:val="left"/>
            </w:pPr>
            <w:r>
              <w:t xml:space="preserve">Same Period Last Year Value</w:t>
            </w:r>
          </w:p>
        </w:tc>
      </w:tr>
      <w:tr>
        <w:tc>
          <w:p>
            <w:pPr>
              <w:pStyle w:val="Compact"/>
              <w:jc w:val="left"/>
            </w:pPr>
            <w:r>
              <w:t xml:space="preserve">Incoming batch qualification rate</w:t>
            </w:r>
          </w:p>
        </w:tc>
        <w:tc>
          <w:p>
            <w:pPr>
              <w:pStyle w:val="Compact"/>
              <w:jc w:val="left"/>
            </w:pPr>
            <w:r>
              <w:t xml:space="preserve">≥98.0%</w:t>
            </w:r>
          </w:p>
        </w:tc>
        <w:tc>
          <w:p>
            <w:pPr>
              <w:pStyle w:val="Compact"/>
              <w:jc w:val="left"/>
            </w:pPr>
            <w:r>
              <w:t xml:space="preserve">98.6%</w:t>
            </w:r>
          </w:p>
        </w:tc>
        <w:tc>
          <w:p>
            <w:pPr>
              <w:pStyle w:val="Compact"/>
              <w:jc w:val="left"/>
            </w:pPr>
            <w:r>
              <w:t xml:space="preserve">100.6%</w:t>
            </w:r>
          </w:p>
        </w:tc>
        <w:tc>
          <w:p>
            <w:pPr>
              <w:pStyle w:val="Compact"/>
              <w:jc w:val="left"/>
            </w:pPr>
            <w:r>
              <w:t xml:space="preserve">97.4%</w:t>
            </w:r>
          </w:p>
        </w:tc>
        <w:tc>
          <w:p>
            <w:pPr>
              <w:pStyle w:val="Compact"/>
              <w:jc w:val="left"/>
            </w:pPr>
            <w:r>
              <w:t xml:space="preserve">98.1%</w:t>
            </w:r>
          </w:p>
        </w:tc>
      </w:tr>
      <w:tr>
        <w:tc>
          <w:p>
            <w:pPr>
              <w:pStyle w:val="Compact"/>
              <w:jc w:val="left"/>
            </w:pPr>
            <w:r>
              <w:t xml:space="preserve">Customer complaint cases (monthly average)</w:t>
            </w:r>
          </w:p>
        </w:tc>
        <w:tc>
          <w:p>
            <w:pPr>
              <w:pStyle w:val="Compact"/>
              <w:jc w:val="left"/>
            </w:pPr>
            <w:r>
              <w:t xml:space="preserve">≤4 cases</w:t>
            </w:r>
          </w:p>
        </w:tc>
        <w:tc>
          <w:p>
            <w:pPr>
              <w:pStyle w:val="Compact"/>
              <w:jc w:val="left"/>
            </w:pPr>
            <w:r>
              <w:t xml:space="preserve">6 cases</w:t>
            </w:r>
          </w:p>
        </w:tc>
        <w:tc>
          <w:p>
            <w:pPr>
              <w:pStyle w:val="Compact"/>
              <w:jc w:val="left"/>
            </w:pPr>
            <w:r>
              <w:t xml:space="preserve">66.7%</w:t>
            </w:r>
          </w:p>
        </w:tc>
        <w:tc>
          <w:p>
            <w:pPr>
              <w:pStyle w:val="Compact"/>
              <w:jc w:val="left"/>
            </w:pPr>
            <w:r>
              <w:t xml:space="preserve">3 cases</w:t>
            </w:r>
          </w:p>
        </w:tc>
        <w:tc>
          <w:p>
            <w:pPr>
              <w:pStyle w:val="Compact"/>
              <w:jc w:val="left"/>
            </w:pPr>
            <w:r>
              <w:t xml:space="preserve">5 cases</w:t>
            </w:r>
          </w:p>
        </w:tc>
      </w:tr>
    </w:tbl>
    <w:p>
      <w:pPr>
        <w:pStyle w:val="BodyText"/>
      </w:pPr>
      <w:r>
        <w:rPr>
          <w:b/>
        </w:rPr>
        <w:t xml:space="preserve">（3）Data Clarification Form (QR-43-03)</w:t>
      </w:r>
    </w:p>
    <w:p>
      <w:pPr>
        <w:pStyle w:val="BodyText"/>
      </w:pPr>
      <w:r>
        <w:t xml:space="preserve">Fields: Clarification Form Number | Associated Input Item | Associated Department | Problem Description | Data and Page Number Involved | Issue Date | Response Deadline | Department Response | Response Basis (Record or Ledger Number) | Responsible Department Confirmation | Management Representative Ruling (if applicable).</w:t>
      </w:r>
    </w:p>
    <w:p>
      <w:pPr>
        <w:pStyle w:val="BodyText"/>
      </w:pPr>
      <w:r>
        <w:t xml:space="preserve">Filling Instructions: One form per issue, the problem description must clearly state</w:t>
      </w:r>
      <w:r>
        <w:t xml:space="preserve"> </w:t>
      </w:r>
      <w:r>
        <w:t xml:space="preserve">“</w:t>
      </w:r>
      <w:r>
        <w:t xml:space="preserve">what it should be, what it actually is, and the difference</w:t>
      </w:r>
      <w:r>
        <w:t xml:space="preserve">”</w:t>
      </w:r>
      <w:r>
        <w:t xml:space="preserve">; the department response must include the data source and not just state</w:t>
      </w:r>
      <w:r>
        <w:t xml:space="preserve"> </w:t>
      </w:r>
      <w:r>
        <w:t xml:space="preserve">“</w:t>
      </w:r>
      <w:r>
        <w:t xml:space="preserve">calculation is correct</w:t>
      </w:r>
      <w:r>
        <w:t xml:space="preserve">”</w:t>
      </w:r>
      <w:r>
        <w:t xml:space="preserve">; if the response is not provided within the specified period, the Quality Department should note the data discrepancy in the report.</w:t>
      </w:r>
    </w:p>
    <w:p>
      <w:pPr>
        <w:pStyle w:val="BodyText"/>
      </w:pPr>
      <w:r>
        <w:t xml:space="preserve">Example Row:</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Clarification Form Number</w:t>
            </w:r>
          </w:p>
        </w:tc>
        <w:tc>
          <w:tcPr>
            <w:tcBorders>
              <w:bottom w:val="single"/>
            </w:tcBorders>
            <w:vAlign w:val="bottom"/>
          </w:tcPr>
          <w:p>
            <w:pPr>
              <w:pStyle w:val="Compact"/>
              <w:jc w:val="left"/>
            </w:pPr>
            <w:r>
              <w:t xml:space="preserve">Associated Input Item</w:t>
            </w:r>
          </w:p>
        </w:tc>
        <w:tc>
          <w:tcPr>
            <w:tcBorders>
              <w:bottom w:val="single"/>
            </w:tcBorders>
            <w:vAlign w:val="bottom"/>
          </w:tcPr>
          <w:p>
            <w:pPr>
              <w:pStyle w:val="Compact"/>
              <w:jc w:val="left"/>
            </w:pPr>
            <w:r>
              <w:t xml:space="preserve">Problem Description</w:t>
            </w:r>
          </w:p>
        </w:tc>
        <w:tc>
          <w:tcPr>
            <w:tcBorders>
              <w:bottom w:val="single"/>
            </w:tcBorders>
            <w:vAlign w:val="bottom"/>
          </w:tcPr>
          <w:p>
            <w:pPr>
              <w:pStyle w:val="Compact"/>
              <w:jc w:val="left"/>
            </w:pPr>
            <w:r>
              <w:t xml:space="preserve">Issue Date</w:t>
            </w:r>
          </w:p>
        </w:tc>
        <w:tc>
          <w:tcPr>
            <w:tcBorders>
              <w:bottom w:val="single"/>
            </w:tcBorders>
            <w:vAlign w:val="bottom"/>
          </w:tcPr>
          <w:p>
            <w:pPr>
              <w:pStyle w:val="Compact"/>
              <w:jc w:val="left"/>
            </w:pPr>
            <w:r>
              <w:t xml:space="preserve">Response</w:t>
            </w:r>
          </w:p>
        </w:tc>
      </w:tr>
      <w:tr>
        <w:tc>
          <w:p>
            <w:pPr>
              <w:pStyle w:val="Compact"/>
              <w:jc w:val="left"/>
            </w:pPr>
            <w:r>
              <w:t xml:space="preserve">QR-43-03-05</w:t>
            </w:r>
          </w:p>
        </w:tc>
        <w:tc>
          <w:p>
            <w:pPr>
              <w:pStyle w:val="Compact"/>
              <w:jc w:val="left"/>
            </w:pPr>
            <w:r>
              <w:t xml:space="preserve">Nonconformities and corrective actions</w:t>
            </w:r>
          </w:p>
        </w:tc>
        <w:tc>
          <w:p>
            <w:pPr>
              <w:pStyle w:val="Compact"/>
              <w:jc w:val="left"/>
            </w:pPr>
            <w:r>
              <w:t xml:space="preserve">The Quality Department reports 128 appearance nonconformities, while the Production Department’s report shows 141, a difference of 13</w:t>
            </w:r>
          </w:p>
        </w:tc>
        <w:tc>
          <w:p>
            <w:pPr>
              <w:pStyle w:val="Compact"/>
              <w:jc w:val="left"/>
            </w:pPr>
            <w:r>
              <w:t xml:space="preserve">2026-10-12</w:t>
            </w:r>
          </w:p>
        </w:tc>
        <w:tc>
          <w:p>
            <w:pPr>
              <w:pStyle w:val="Compact"/>
              <w:jc w:val="left"/>
            </w:pPr>
            <w:r>
              <w:t xml:space="preserve">The Production Department includes re-inspected items after repair, while the Quality Department only counts initial nonconformities, unified according to the initial inspection criteria</w:t>
            </w:r>
          </w:p>
        </w:tc>
      </w:tr>
    </w:tbl>
    <w:p>
      <w:pPr>
        <w:pStyle w:val="BodyText"/>
      </w:pPr>
      <w:r>
        <w:rPr>
          <w:b/>
        </w:rPr>
        <w:t xml:space="preserve">（4）Data Cross-Verification Record (QR-43-04)</w:t>
      </w:r>
    </w:p>
    <w:p>
      <w:pPr>
        <w:pStyle w:val="BodyText"/>
      </w:pPr>
      <w:r>
        <w:t xml:space="preserve">Fields: Verification Item | Data Providing Department and Value | Comparison Source and Value | Difference | Difference Reason | Value Conclusion | Verifier | Verification Date.</w:t>
      </w:r>
    </w:p>
    <w:p>
      <w:pPr>
        <w:pStyle w:val="BodyText"/>
      </w:pPr>
      <w:r>
        <w:t xml:space="preserve">Filling Instructions: At least cover five types of cross-verifiable data: customer complaints, nonconformities, supplier performance, delivery timeliness, and training completion rate; the verification conclusion can only be</w:t>
      </w:r>
      <w:r>
        <w:t xml:space="preserve"> </w:t>
      </w:r>
      <w:r>
        <w:t xml:space="preserve">“</w:t>
      </w:r>
      <w:r>
        <w:t xml:space="preserve">consistent,</w:t>
      </w:r>
      <w:r>
        <w:t xml:space="preserve">”</w:t>
      </w:r>
      <w:r>
        <w:t xml:space="preserve"> </w:t>
      </w:r>
      <w:r>
        <w:t xml:space="preserve">“</w:t>
      </w:r>
      <w:r>
        <w:t xml:space="preserve">based on a specific department (with basis),</w:t>
      </w:r>
      <w:r>
        <w:t xml:space="preserve">”</w:t>
      </w:r>
      <w:r>
        <w:t xml:space="preserve"> </w:t>
      </w:r>
      <w:r>
        <w:t xml:space="preserve">or</w:t>
      </w:r>
      <w:r>
        <w:t xml:space="preserve"> </w:t>
      </w:r>
      <w:r>
        <w:t xml:space="preserve">“</w:t>
      </w:r>
      <w:r>
        <w:t xml:space="preserve">discrepancy pending ruling.</w:t>
      </w:r>
      <w:r>
        <w:t xml:space="preserve">”</w:t>
      </w:r>
    </w:p>
    <w:p>
      <w:pPr>
        <w:pStyle w:val="BodyText"/>
      </w:pPr>
      <w:r>
        <w:t xml:space="preserve">Example Row:</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Verification Item</w:t>
            </w:r>
          </w:p>
        </w:tc>
        <w:tc>
          <w:tcPr>
            <w:tcBorders>
              <w:bottom w:val="single"/>
            </w:tcBorders>
            <w:vAlign w:val="bottom"/>
          </w:tcPr>
          <w:p>
            <w:pPr>
              <w:pStyle w:val="Compact"/>
              <w:jc w:val="left"/>
            </w:pPr>
            <w:r>
              <w:t xml:space="preserve">Provided Value</w:t>
            </w:r>
          </w:p>
        </w:tc>
        <w:tc>
          <w:tcPr>
            <w:tcBorders>
              <w:bottom w:val="single"/>
            </w:tcBorders>
            <w:vAlign w:val="bottom"/>
          </w:tcPr>
          <w:p>
            <w:pPr>
              <w:pStyle w:val="Compact"/>
              <w:jc w:val="left"/>
            </w:pPr>
            <w:r>
              <w:t xml:space="preserve">Comparison Source and Value</w:t>
            </w:r>
          </w:p>
        </w:tc>
        <w:tc>
          <w:tcPr>
            <w:tcBorders>
              <w:bottom w:val="single"/>
            </w:tcBorders>
            <w:vAlign w:val="bottom"/>
          </w:tcPr>
          <w:p>
            <w:pPr>
              <w:pStyle w:val="Compact"/>
              <w:jc w:val="left"/>
            </w:pPr>
            <w:r>
              <w:t xml:space="preserve">Difference</w:t>
            </w:r>
          </w:p>
        </w:tc>
        <w:tc>
          <w:tcPr>
            <w:tcBorders>
              <w:bottom w:val="single"/>
            </w:tcBorders>
            <w:vAlign w:val="bottom"/>
          </w:tcPr>
          <w:p>
            <w:pPr>
              <w:pStyle w:val="Compact"/>
              <w:jc w:val="left"/>
            </w:pPr>
            <w:r>
              <w:t xml:space="preserve">Value Conclusion</w:t>
            </w:r>
          </w:p>
        </w:tc>
      </w:tr>
      <w:tr>
        <w:tc>
          <w:p>
            <w:pPr>
              <w:pStyle w:val="Compact"/>
              <w:jc w:val="left"/>
            </w:pPr>
            <w:r>
              <w:t xml:space="preserve">Delivery Timeliness</w:t>
            </w:r>
          </w:p>
        </w:tc>
        <w:tc>
          <w:p>
            <w:pPr>
              <w:pStyle w:val="Compact"/>
              <w:jc w:val="left"/>
            </w:pPr>
            <w:r>
              <w:t xml:space="preserve">Production Department 96.2%</w:t>
            </w:r>
          </w:p>
        </w:tc>
        <w:tc>
          <w:p>
            <w:pPr>
              <w:pStyle w:val="Compact"/>
              <w:jc w:val="left"/>
            </w:pPr>
            <w:r>
              <w:t xml:space="preserve">Sales Department contract fulfillment 94.8%</w:t>
            </w:r>
          </w:p>
        </w:tc>
        <w:tc>
          <w:p>
            <w:pPr>
              <w:pStyle w:val="Compact"/>
              <w:jc w:val="left"/>
            </w:pPr>
            <w:r>
              <w:t xml:space="preserve">1.4%</w:t>
            </w:r>
          </w:p>
        </w:tc>
        <w:tc>
          <w:p>
            <w:pPr>
              <w:pStyle w:val="Compact"/>
              <w:jc w:val="left"/>
            </w:pPr>
            <w:r>
              <w:t xml:space="preserve">The discrepancy is due to the Sales Department including customer order changes, unified according to the actual contract delivery date criteria 94.8%</w:t>
            </w:r>
          </w:p>
        </w:tc>
      </w:tr>
    </w:tbl>
    <w:p>
      <w:pPr>
        <w:pStyle w:val="BodyText"/>
      </w:pPr>
      <w:r>
        <w:rPr>
          <w:b/>
        </w:rPr>
        <w:t xml:space="preserve">（5）Meeting Material Package Directory and Distribution Record (QR-43-06)</w:t>
      </w:r>
    </w:p>
    <w:p>
      <w:pPr>
        <w:pStyle w:val="BodyText"/>
      </w:pPr>
      <w:r>
        <w:t xml:space="preserve">Fields: Material Package Number | Meeting Date | Number of Pages in Material Package | List of Attachments | Distribution Date | Distribution Method (Paper/Electronic) | Receiver Signature | Whether Reading Preparation Prompt is Attached.</w:t>
      </w:r>
    </w:p>
    <w:p>
      <w:pPr>
        <w:pStyle w:val="BodyText"/>
      </w:pPr>
      <w:r>
        <w:t xml:space="preserve">Filling Instructions: The distribution date must not be later than 7 days before the meeting; if distributed electronically, retain the sending record as evidence; if not distributed on time, note the reason.</w:t>
      </w:r>
    </w:p>
    <w:p>
      <w:pPr>
        <w:pStyle w:val="BodyText"/>
      </w:pPr>
      <w:r>
        <w:t xml:space="preserve">Example Row:</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Material Package Number</w:t>
            </w:r>
          </w:p>
        </w:tc>
        <w:tc>
          <w:tcPr>
            <w:tcBorders>
              <w:bottom w:val="single"/>
            </w:tcBorders>
            <w:vAlign w:val="bottom"/>
          </w:tcPr>
          <w:p>
            <w:pPr>
              <w:pStyle w:val="Compact"/>
              <w:jc w:val="left"/>
            </w:pPr>
            <w:r>
              <w:t xml:space="preserve">Meeting Date</w:t>
            </w:r>
          </w:p>
        </w:tc>
        <w:tc>
          <w:tcPr>
            <w:tcBorders>
              <w:bottom w:val="single"/>
            </w:tcBorders>
            <w:vAlign w:val="bottom"/>
          </w:tcPr>
          <w:p>
            <w:pPr>
              <w:pStyle w:val="Compact"/>
              <w:jc w:val="left"/>
            </w:pPr>
            <w:r>
              <w:t xml:space="preserve">Distribution Date</w:t>
            </w:r>
          </w:p>
        </w:tc>
        <w:tc>
          <w:tcPr>
            <w:tcBorders>
              <w:bottom w:val="single"/>
            </w:tcBorders>
            <w:vAlign w:val="bottom"/>
          </w:tcPr>
          <w:p>
            <w:pPr>
              <w:pStyle w:val="Compact"/>
              <w:jc w:val="left"/>
            </w:pPr>
            <w:r>
              <w:t xml:space="preserve">Number of Attachments</w:t>
            </w:r>
          </w:p>
        </w:tc>
        <w:tc>
          <w:tcPr>
            <w:tcBorders>
              <w:bottom w:val="single"/>
            </w:tcBorders>
            <w:vAlign w:val="bottom"/>
          </w:tcPr>
          <w:p>
            <w:pPr>
              <w:pStyle w:val="Compact"/>
              <w:jc w:val="left"/>
            </w:pPr>
            <w:r>
              <w:t xml:space="preserve">Receiver Signature</w:t>
            </w:r>
          </w:p>
        </w:tc>
      </w:tr>
      <w:tr>
        <w:tc>
          <w:p>
            <w:pPr>
              <w:pStyle w:val="Compact"/>
              <w:jc w:val="left"/>
            </w:pPr>
            <w:r>
              <w:t xml:space="preserve">MR-PKG-2026-01</w:t>
            </w:r>
          </w:p>
        </w:tc>
        <w:tc>
          <w:p>
            <w:pPr>
              <w:pStyle w:val="Compact"/>
              <w:jc w:val="left"/>
            </w:pPr>
            <w:r>
              <w:t xml:space="preserve">2026-11-03</w:t>
            </w:r>
          </w:p>
        </w:tc>
        <w:tc>
          <w:p>
            <w:pPr>
              <w:pStyle w:val="Compact"/>
              <w:jc w:val="left"/>
            </w:pPr>
            <w:r>
              <w:t xml:space="preserve">2026-10-27</w:t>
            </w:r>
          </w:p>
        </w:tc>
        <w:tc>
          <w:p>
            <w:pPr>
              <w:pStyle w:val="Compact"/>
              <w:jc w:val="left"/>
            </w:pPr>
            <w:r>
              <w:t xml:space="preserve">8</w:t>
            </w:r>
          </w:p>
        </w:tc>
        <w:tc>
          <w:p>
            <w:pPr>
              <w:pStyle w:val="Compact"/>
              <w:jc w:val="left"/>
            </w:pPr>
            <w:r>
              <w:t xml:space="preserve">See sign-off page</w:t>
            </w:r>
          </w:p>
        </w:tc>
      </w:tr>
    </w:tbl>
    <w:p>
      <w:pPr>
        <w:pStyle w:val="Heading2"/>
      </w:pPr>
      <w:bookmarkStart w:id="35" w:name="related-documents"/>
      <w:r>
        <w:t xml:space="preserve">6. Related Documents</w:t>
      </w:r>
      <w:bookmarkEnd w:id="35"/>
    </w:p>
    <w:p>
      <w:pPr>
        <w:numPr>
          <w:ilvl w:val="0"/>
          <w:numId w:val="1006"/>
        </w:numPr>
        <w:pStyle w:val="Compact"/>
      </w:pPr>
      <w:r>
        <w:t xml:space="preserve">“</w:t>
      </w:r>
      <w:r>
        <w:t xml:space="preserve">Management Review Procedure</w:t>
      </w:r>
      <w:r>
        <w:t xml:space="preserve">”</w:t>
      </w:r>
      <w:r>
        <w:t xml:space="preserve"> </w:t>
      </w:r>
      <w:r>
        <w:t xml:space="preserve">(QP-26)</w:t>
      </w:r>
    </w:p>
    <w:p>
      <w:pPr>
        <w:numPr>
          <w:ilvl w:val="0"/>
          <w:numId w:val="1006"/>
        </w:numPr>
        <w:pStyle w:val="Compact"/>
      </w:pPr>
      <w:r>
        <w:t xml:space="preserve">“</w:t>
      </w:r>
      <w:r>
        <w:t xml:space="preserve">Internal Audit Procedure</w:t>
      </w:r>
      <w:r>
        <w:t xml:space="preserve">”</w:t>
      </w:r>
      <w:r>
        <w:t xml:space="preserve"> </w:t>
      </w:r>
      <w:r>
        <w:t xml:space="preserve">(QP-25)</w:t>
      </w:r>
    </w:p>
    <w:p>
      <w:pPr>
        <w:numPr>
          <w:ilvl w:val="0"/>
          <w:numId w:val="1006"/>
        </w:numPr>
        <w:pStyle w:val="Compact"/>
      </w:pPr>
      <w:r>
        <w:t xml:space="preserve">“</w:t>
      </w:r>
      <w:r>
        <w:t xml:space="preserve">Internal Audit Implementation Work Instruction</w:t>
      </w:r>
      <w:r>
        <w:t xml:space="preserve">”</w:t>
      </w:r>
      <w:r>
        <w:t xml:space="preserve"> </w:t>
      </w:r>
      <w:r>
        <w:t xml:space="preserve">(WI-QA-42)</w:t>
      </w:r>
    </w:p>
    <w:p>
      <w:pPr>
        <w:numPr>
          <w:ilvl w:val="0"/>
          <w:numId w:val="1006"/>
        </w:numPr>
        <w:pStyle w:val="Compact"/>
      </w:pPr>
      <w:r>
        <w:t xml:space="preserve">“</w:t>
      </w:r>
      <w:r>
        <w:t xml:space="preserve">Data Analysis and Evaluation Procedure</w:t>
      </w:r>
      <w:r>
        <w:t xml:space="preserve">”</w:t>
      </w:r>
      <w:r>
        <w:t xml:space="preserve"> </w:t>
      </w:r>
      <w:r>
        <w:t xml:space="preserve">(QP-24)</w:t>
      </w:r>
    </w:p>
    <w:p>
      <w:pPr>
        <w:numPr>
          <w:ilvl w:val="0"/>
          <w:numId w:val="1006"/>
        </w:numPr>
        <w:pStyle w:val="Compact"/>
      </w:pPr>
      <w:r>
        <w:t xml:space="preserve">“</w:t>
      </w:r>
      <w:r>
        <w:t xml:space="preserve">Data Analysis and Statistical Tool Application Work Instruction</w:t>
      </w:r>
      <w:r>
        <w:t xml:space="preserve">”</w:t>
      </w:r>
      <w:r>
        <w:t xml:space="preserve"> </w:t>
      </w:r>
      <w:r>
        <w:t xml:space="preserve">(WI-QA-44)</w:t>
      </w:r>
    </w:p>
    <w:p>
      <w:pPr>
        <w:numPr>
          <w:ilvl w:val="0"/>
          <w:numId w:val="1006"/>
        </w:numPr>
        <w:pStyle w:val="Compact"/>
      </w:pPr>
      <w:r>
        <w:t xml:space="preserve">“</w:t>
      </w:r>
      <w:r>
        <w:t xml:space="preserve">Nonconformity and Corrective Action Procedure</w:t>
      </w:r>
      <w:r>
        <w:t xml:space="preserve">”</w:t>
      </w:r>
      <w:r>
        <w:t xml:space="preserve"> </w:t>
      </w:r>
      <w:r>
        <w:t xml:space="preserve">(QP-27)</w:t>
      </w:r>
    </w:p>
    <w:p>
      <w:pPr>
        <w:numPr>
          <w:ilvl w:val="0"/>
          <w:numId w:val="1006"/>
        </w:numPr>
        <w:pStyle w:val="Compact"/>
      </w:pPr>
      <w:r>
        <w:t xml:space="preserve">“</w:t>
      </w:r>
      <w:r>
        <w:t xml:space="preserve">Corrective Action Implementation and Verification Work Instruction</w:t>
      </w:r>
      <w:r>
        <w:t xml:space="preserve">”</w:t>
      </w:r>
      <w:r>
        <w:t xml:space="preserve"> </w:t>
      </w:r>
      <w:r>
        <w:t xml:space="preserve">(WI-QA-45)</w:t>
      </w:r>
    </w:p>
    <w:p>
      <w:pPr>
        <w:numPr>
          <w:ilvl w:val="0"/>
          <w:numId w:val="1006"/>
        </w:numPr>
        <w:pStyle w:val="Compact"/>
      </w:pPr>
      <w:r>
        <w:t xml:space="preserve">“</w:t>
      </w:r>
      <w:r>
        <w:t xml:space="preserve">Quality Policy and Quality Objectives Management Procedure</w:t>
      </w:r>
      <w:r>
        <w:t xml:space="preserve">”</w:t>
      </w:r>
      <w:r>
        <w:t xml:space="preserve"> </w:t>
      </w:r>
      <w:r>
        <w:t xml:space="preserve">(QP-07)</w:t>
      </w:r>
    </w:p>
    <w:p>
      <w:pPr>
        <w:numPr>
          <w:ilvl w:val="0"/>
          <w:numId w:val="1006"/>
        </w:numPr>
        <w:pStyle w:val="Compact"/>
      </w:pPr>
      <w:r>
        <w:t xml:space="preserve">“</w:t>
      </w:r>
      <w:r>
        <w:t xml:space="preserve">Risk and Opportunity Management Procedure</w:t>
      </w:r>
      <w:r>
        <w:t xml:space="preserve">”</w:t>
      </w:r>
      <w:r>
        <w:t xml:space="preserve"> </w:t>
      </w:r>
      <w:r>
        <w:t xml:space="preserve">(QP-06)</w:t>
      </w:r>
    </w:p>
    <w:p>
      <w:pPr>
        <w:numPr>
          <w:ilvl w:val="0"/>
          <w:numId w:val="1006"/>
        </w:numPr>
        <w:pStyle w:val="Compact"/>
      </w:pPr>
      <w:r>
        <w:t xml:space="preserve">“</w:t>
      </w:r>
      <w:r>
        <w:t xml:space="preserve">Organizational Environment and Stakeholder Management Procedure</w:t>
      </w:r>
      <w:r>
        <w:t xml:space="preserve">”</w:t>
      </w:r>
      <w:r>
        <w:t xml:space="preserve"> </w:t>
      </w:r>
      <w:r>
        <w:t xml:space="preserve">(QP-05)</w:t>
      </w:r>
    </w:p>
    <w:p>
      <w:pPr>
        <w:numPr>
          <w:ilvl w:val="0"/>
          <w:numId w:val="1006"/>
        </w:numPr>
        <w:pStyle w:val="Compact"/>
      </w:pPr>
      <w:r>
        <w:t xml:space="preserve">“</w:t>
      </w:r>
      <w:r>
        <w:t xml:space="preserve">Record Control Procedure</w:t>
      </w:r>
      <w:r>
        <w:t xml:space="preserve">”</w:t>
      </w:r>
      <w:r>
        <w:t xml:space="preserve"> </w:t>
      </w:r>
      <w:r>
        <w:t xml:space="preserve">(QP-04)</w:t>
      </w:r>
    </w:p>
    <w:p>
      <w:pPr>
        <w:numPr>
          <w:ilvl w:val="0"/>
          <w:numId w:val="1006"/>
        </w:numPr>
        <w:pStyle w:val="Compact"/>
      </w:pPr>
      <w:r>
        <w:t xml:space="preserve">“</w:t>
      </w:r>
      <w:r>
        <w:t xml:space="preserve">Record Filling and Archiving Work Instruction</w:t>
      </w:r>
      <w:r>
        <w:t xml:space="preserve">”</w:t>
      </w:r>
      <w:r>
        <w:t xml:space="preserve"> </w:t>
      </w:r>
      <w:r>
        <w:t xml:space="preserve">(WI-QA-39)</w:t>
      </w:r>
    </w:p>
    <w:p>
      <w:pPr>
        <w:numPr>
          <w:ilvl w:val="0"/>
          <w:numId w:val="1006"/>
        </w:numPr>
        <w:pStyle w:val="Compact"/>
      </w:pPr>
      <w:r>
        <w:t xml:space="preserve">“</w:t>
      </w:r>
      <w:r>
        <w:t xml:space="preserve">Procurement and External Provision Control Procedure</w:t>
      </w:r>
      <w:r>
        <w:t xml:space="preserve">”</w:t>
      </w:r>
      <w:r>
        <w:t xml:space="preserve"> </w:t>
      </w:r>
      <w:r>
        <w:t xml:space="preserve">(QP-16)</w:t>
      </w:r>
    </w:p>
    <w:p>
      <w:pPr>
        <w:numPr>
          <w:ilvl w:val="0"/>
          <w:numId w:val="1006"/>
        </w:numPr>
        <w:pStyle w:val="Compact"/>
      </w:pPr>
      <w:r>
        <w:t xml:space="preserve">“</w:t>
      </w:r>
      <w:r>
        <w:t xml:space="preserve">Supplier Access and Performance Evaluation Work Instruction</w:t>
      </w:r>
      <w:r>
        <w:t xml:space="preserve">”</w:t>
      </w:r>
      <w:r>
        <w:t xml:space="preserve"> </w:t>
      </w:r>
      <w:r>
        <w:t xml:space="preserve">(WI-QA-40)</w:t>
      </w:r>
    </w:p>
    <w:p>
      <w:pPr>
        <w:numPr>
          <w:ilvl w:val="0"/>
          <w:numId w:val="1006"/>
        </w:numPr>
        <w:pStyle w:val="Compact"/>
      </w:pPr>
      <w:r>
        <w:t xml:space="preserve">“</w:t>
      </w:r>
      <w:r>
        <w:t xml:space="preserve">Customer Satisfaction Monitoring and Measurement Procedure</w:t>
      </w:r>
      <w:r>
        <w:t xml:space="preserve">”</w:t>
      </w:r>
      <w:r>
        <w:t xml:space="preserve"> </w:t>
      </w:r>
      <w:r>
        <w:t xml:space="preserve">(QP-23)</w:t>
      </w:r>
    </w:p>
    <w:p>
      <w:pPr>
        <w:numPr>
          <w:ilvl w:val="0"/>
          <w:numId w:val="1006"/>
        </w:numPr>
        <w:pStyle w:val="Compact"/>
      </w:pPr>
      <w:r>
        <w:t xml:space="preserve">“</w:t>
      </w:r>
      <w:r>
        <w:t xml:space="preserve">Knowledge Management Procedure</w:t>
      </w:r>
      <w:r>
        <w:t xml:space="preserve">”</w:t>
      </w:r>
      <w:r>
        <w:t xml:space="preserve"> </w:t>
      </w:r>
      <w:r>
        <w:t xml:space="preserve">(QP-11)</w:t>
      </w:r>
    </w:p>
    <w:p>
      <w:r>
        <w:pict>
          <v:rect style="width:0;height:1.5pt" o:hralign="center" o:hrstd="t" o:hr="t"/>
        </w:pict>
      </w:r>
    </w:p>
    <w:p>
      <w:pPr>
        <w:pStyle w:val="Heading2"/>
      </w:pPr>
      <w:bookmarkStart w:id="36" w:name="usage-instructions"/>
      <w:r>
        <w:t xml:space="preserve">Usage Instructions</w:t>
      </w:r>
      <w:bookmarkEnd w:id="36"/>
    </w:p>
    <w:p>
      <w:pPr>
        <w:pStyle w:val="FirstParagraph"/>
      </w:pPr>
      <w:r>
        <w:rPr>
          <w:b/>
        </w:rPr>
        <w:t xml:space="preserve">1. Modify According to Actual Company Conditions</w:t>
      </w:r>
    </w:p>
    <w:p>
      <w:pPr>
        <w:numPr>
          <w:ilvl w:val="0"/>
          <w:numId w:val="1007"/>
        </w:numPr>
        <w:pStyle w:val="Compact"/>
      </w:pPr>
      <w:r>
        <w:rPr>
          <w:b/>
        </w:rPr>
        <w:t xml:space="preserve">Adjust the schedule based on company size</w:t>
      </w:r>
      <w:r>
        <w:t xml:space="preserve">. This document is arranged from T-35 to T+10, suitable for companies with over 200 employees and complete departments. For small companies with fewer than 50 employees, the schedule can be compressed to: T-15 issue the list and templates, T-10 departmental submission, T-7 consolidation and finalization, T-3 distribution of material packages; however, the two bottom lines of</w:t>
      </w:r>
      <w:r>
        <w:t xml:space="preserve"> </w:t>
      </w:r>
      <w:r>
        <w:t xml:space="preserve">“</w:t>
      </w:r>
      <w:r>
        <w:t xml:space="preserve">report finalization</w:t>
      </w:r>
      <w:r>
        <w:t xml:space="preserve">”</w:t>
      </w:r>
      <w:r>
        <w:t xml:space="preserve"> </w:t>
      </w:r>
      <w:r>
        <w:t xml:space="preserve">and</w:t>
      </w:r>
      <w:r>
        <w:t xml:space="preserve"> </w:t>
      </w:r>
      <w:r>
        <w:t xml:space="preserve">“</w:t>
      </w:r>
      <w:r>
        <w:t xml:space="preserve">distribution 7 days in advance</w:t>
      </w:r>
      <w:r>
        <w:t xml:space="preserve">”</w:t>
      </w:r>
      <w:r>
        <w:t xml:space="preserve"> </w:t>
      </w:r>
      <w:r>
        <w:t xml:space="preserve">cannot be compressed, otherwise the meeting will inevitably become a data reporting session.</w:t>
      </w:r>
    </w:p>
    <w:p>
      <w:pPr>
        <w:numPr>
          <w:ilvl w:val="0"/>
          <w:numId w:val="1007"/>
        </w:numPr>
        <w:pStyle w:val="Compact"/>
      </w:pPr>
      <w:r>
        <w:rPr>
          <w:b/>
        </w:rPr>
        <w:t xml:space="preserve">Trim the department list according to the organizational structure</w:t>
      </w:r>
      <w:r>
        <w:t xml:space="preserve">. This document lists ten common departments. If the company does not have an independent Human Resources Department or Equipment Department, the corresponding responsibilities should be merged into the General Management Department or Production Department; if the company has multiple product lines, an input package should be added for each product line, submitted by the product line head, to avoid using overall company data to mask issues in a single product line.</w:t>
      </w:r>
    </w:p>
    <w:p>
      <w:pPr>
        <w:numPr>
          <w:ilvl w:val="0"/>
          <w:numId w:val="1007"/>
        </w:numPr>
        <w:pStyle w:val="Compact"/>
      </w:pPr>
      <w:r>
        <w:rPr>
          <w:b/>
        </w:rPr>
        <w:t xml:space="preserve">Adapt the indicator set to the product type</w:t>
      </w:r>
      <w:r>
        <w:t xml:space="preserve">. For manufacturing companies, the focus of inputs should be on process capability, process nonconformities, equipment downtime, and incoming material qualification rate; for trading companies, the focus should shift to supplier delivery reliability, acceptance qualification rate, and customer return rate; for service companies, the focus should be on service delivery time, service error rate, customer satisfaction, and complaint closure rate, with additional inputs on personnel capability and scheduling support.</w:t>
      </w:r>
    </w:p>
    <w:p>
      <w:pPr>
        <w:numPr>
          <w:ilvl w:val="0"/>
          <w:numId w:val="1007"/>
        </w:numPr>
        <w:pStyle w:val="Compact"/>
      </w:pPr>
      <w:r>
        <w:rPr>
          <w:b/>
        </w:rPr>
        <w:t xml:space="preserve">Combine with multi-system reviews</w:t>
      </w:r>
      <w:r>
        <w:t xml:space="preserve">. For companies running quality, environmental, and occupational health and safety systems simultaneously, a</w:t>
      </w:r>
      <w:r>
        <w:t xml:space="preserve"> </w:t>
      </w:r>
      <w:r>
        <w:t xml:space="preserve">“</w:t>
      </w:r>
      <w:r>
        <w:t xml:space="preserve">system—input item—providing department</w:t>
      </w:r>
      <w:r>
        <w:t xml:space="preserve">”</w:t>
      </w:r>
      <w:r>
        <w:t xml:space="preserve"> </w:t>
      </w:r>
      <w:r>
        <w:t xml:space="preserve">matrix can be added after the table in 4.1.1 to cover all three systems in one collection; environmental and safety inputs (such as pollutant emissions, accident and hazard rectification) should be listed separately according to the corresponding system standards and not mixed with quality inputs.</w:t>
      </w:r>
    </w:p>
    <w:p>
      <w:pPr>
        <w:numPr>
          <w:ilvl w:val="0"/>
          <w:numId w:val="1007"/>
        </w:numPr>
        <w:pStyle w:val="Compact"/>
      </w:pPr>
      <w:r>
        <w:rPr>
          <w:b/>
        </w:rPr>
        <w:t xml:space="preserve">Align template numbers with the company’s existing numbering system</w:t>
      </w:r>
      <w:r>
        <w:t xml:space="preserve">. This document uses the QR-43-×× format for form numbers. If the company uses a different numbering rule (such as QR-QA-43-01), it should be replaced as a whole and registered in the</w:t>
      </w:r>
      <w:r>
        <w:t xml:space="preserve"> </w:t>
      </w:r>
      <w:r>
        <w:t xml:space="preserve">“</w:t>
      </w:r>
      <w:r>
        <w:t xml:space="preserve">Record List</w:t>
      </w:r>
      <w:r>
        <w:t xml:space="preserve">”</w:t>
      </w:r>
      <w:r>
        <w:t xml:space="preserve"> </w:t>
      </w:r>
      <w:r>
        <w:t xml:space="preserve">to avoid unnumbered records.</w:t>
      </w:r>
    </w:p>
    <w:p>
      <w:pPr>
        <w:numPr>
          <w:ilvl w:val="0"/>
          <w:numId w:val="1007"/>
        </w:numPr>
        <w:pStyle w:val="Compact"/>
      </w:pPr>
      <w:r>
        <w:rPr>
          <w:b/>
        </w:rPr>
        <w:t xml:space="preserve">Conduct a trial run for the first implementation</w:t>
      </w:r>
      <w:r>
        <w:t xml:space="preserve">. It is recommended to run a trial input preparation in a small scope (without formally holding a meeting) to test whether the criteria are consistent and whether the templates are practical. After revision, the formal implementation can significantly reduce rework in the first year.</w:t>
      </w:r>
    </w:p>
    <w:p>
      <w:pPr>
        <w:pStyle w:val="FirstParagraph"/>
      </w:pPr>
      <w:r>
        <w:rPr>
          <w:b/>
        </w:rPr>
        <w:t xml:space="preserve">2. Audit Focus Points (Frequent in Internal and Certification Audits)</w:t>
      </w:r>
    </w:p>
    <w:p>
      <w:pPr>
        <w:numPr>
          <w:ilvl w:val="0"/>
          <w:numId w:val="1008"/>
        </w:numPr>
        <w:pStyle w:val="Compact"/>
      </w:pPr>
      <w:r>
        <w:t xml:space="preserve">Whether all input items under 9.3.2 are complete: auditors typically compare each item from a) to f) with the input report directory, and any missing item is a nonconformity;</w:t>
      </w:r>
    </w:p>
    <w:p>
      <w:pPr>
        <w:numPr>
          <w:ilvl w:val="0"/>
          <w:numId w:val="1008"/>
        </w:numPr>
        <w:pStyle w:val="Compact"/>
      </w:pPr>
      <w:r>
        <w:t xml:space="preserve">Whether input data is traceable to original records: check a few indicators to see if the report values can be traced back to ledgers and original records;</w:t>
      </w:r>
    </w:p>
    <w:p>
      <w:pPr>
        <w:numPr>
          <w:ilvl w:val="0"/>
          <w:numId w:val="1008"/>
        </w:numPr>
        <w:pStyle w:val="Compact"/>
      </w:pPr>
      <w:r>
        <w:t xml:space="preserve">Whether the statistical interval and criteria are consistent: whether the same indicator has consistent values in different documents, and whether there are two sets of data;</w:t>
      </w:r>
    </w:p>
    <w:p>
      <w:pPr>
        <w:numPr>
          <w:ilvl w:val="0"/>
          <w:numId w:val="1008"/>
        </w:numPr>
        <w:pStyle w:val="Compact"/>
      </w:pPr>
      <w:r>
        <w:t xml:space="preserve">Whether all measures from the previous management review have implementation status and verification conclusions, and whether incomplete measures have new deadlines and reasons;</w:t>
      </w:r>
    </w:p>
    <w:p>
      <w:pPr>
        <w:numPr>
          <w:ilvl w:val="0"/>
          <w:numId w:val="1008"/>
        </w:numPr>
        <w:pStyle w:val="Compact"/>
      </w:pPr>
      <w:r>
        <w:t xml:space="preserve">The authenticity and representativeness of customer satisfaction data: whether the survey methods, sample size, and response rate are reasonable, and whether there are cases of only hanging surveys without collecting responses or all giving full scores;</w:t>
      </w:r>
    </w:p>
    <w:p>
      <w:pPr>
        <w:numPr>
          <w:ilvl w:val="0"/>
          <w:numId w:val="1008"/>
        </w:numPr>
        <w:pStyle w:val="Compact"/>
      </w:pPr>
      <w:r>
        <w:t xml:space="preserve">Whether there is a conclusive judgment on resource adequacy, and whether it is just a list of current resource status without judgment and decision-making;</w:t>
      </w:r>
    </w:p>
    <w:p>
      <w:pPr>
        <w:numPr>
          <w:ilvl w:val="0"/>
          <w:numId w:val="1008"/>
        </w:numPr>
        <w:pStyle w:val="Compact"/>
      </w:pPr>
      <w:r>
        <w:t xml:space="preserve">Whether there is tracking evidence for the effectiveness of risk and opportunity measures, and whether it is just updating the ledger without evaluating the effectiveness of the measures;</w:t>
      </w:r>
    </w:p>
    <w:p>
      <w:pPr>
        <w:numPr>
          <w:ilvl w:val="0"/>
          <w:numId w:val="1008"/>
        </w:numPr>
        <w:pStyle w:val="Compact"/>
      </w:pPr>
      <w:r>
        <w:t xml:space="preserve">Whether there is a record of the distribution time of input materials, and whether it can be proven that participants received the materials before the meeting;</w:t>
      </w:r>
    </w:p>
    <w:p>
      <w:pPr>
        <w:numPr>
          <w:ilvl w:val="0"/>
          <w:numId w:val="1008"/>
        </w:numPr>
        <w:pStyle w:val="Compact"/>
      </w:pPr>
      <w:r>
        <w:t xml:space="preserve">Whether the content of the input report corresponds to the meeting records and resolution lists, and whether there are issues mentioned in the report that disappear in the resolutions;</w:t>
      </w:r>
    </w:p>
    <w:p>
      <w:pPr>
        <w:numPr>
          <w:ilvl w:val="0"/>
          <w:numId w:val="1008"/>
        </w:numPr>
        <w:pStyle w:val="Compact"/>
      </w:pPr>
      <w:r>
        <w:t xml:space="preserve">Whether the inputs of multi-site companies cover all sites, and whether remote and overseas points are consistently replaced by headquarters data.</w:t>
      </w:r>
    </w:p>
    <w:p>
      <w:pPr>
        <w:pStyle w:val="FirstParagraph"/>
      </w:pPr>
      <w:r>
        <w:rPr>
          <w:b/>
        </w:rPr>
        <w:t xml:space="preserve">3. Common Errors</w:t>
      </w:r>
    </w:p>
    <w:p>
      <w:pPr>
        <w:numPr>
          <w:ilvl w:val="0"/>
          <w:numId w:val="1009"/>
        </w:numPr>
        <w:pStyle w:val="Compact"/>
      </w:pPr>
      <w:r>
        <w:rPr>
          <w:b/>
        </w:rPr>
        <w:t xml:space="preserve">Treating input preparation as</w:t>
      </w:r>
      <w:r>
        <w:rPr>
          <w:b/>
        </w:rPr>
        <w:t xml:space="preserve"> </w:t>
      </w:r>
      <w:r>
        <w:rPr>
          <w:b/>
        </w:rPr>
        <w:t xml:space="preserve">“</w:t>
      </w:r>
      <w:r>
        <w:rPr>
          <w:b/>
        </w:rPr>
        <w:t xml:space="preserve">filling out forms and submitting them</w:t>
      </w:r>
      <w:r>
        <w:rPr>
          <w:b/>
        </w:rPr>
        <w:t xml:space="preserve">”</w:t>
      </w:r>
      <w:r>
        <w:t xml:space="preserve">. Departments fill in the numbers according to the template and submit them without analysis, suggestions, or resource requests, turning the report into a data pile. Countermeasure: Set</w:t>
      </w:r>
      <w:r>
        <w:t xml:space="preserve"> </w:t>
      </w:r>
      <w:r>
        <w:t xml:space="preserve">“</w:t>
      </w:r>
      <w:r>
        <w:t xml:space="preserve">cause analysis,</w:t>
      </w:r>
      <w:r>
        <w:t xml:space="preserve">”</w:t>
      </w:r>
      <w:r>
        <w:t xml:space="preserve"> </w:t>
      </w:r>
      <w:r>
        <w:t xml:space="preserve">“</w:t>
      </w:r>
      <w:r>
        <w:t xml:space="preserve">resource requirements,</w:t>
      </w:r>
      <w:r>
        <w:t xml:space="preserve">”</w:t>
      </w:r>
      <w:r>
        <w:t xml:space="preserve"> </w:t>
      </w:r>
      <w:r>
        <w:t xml:space="preserve">and</w:t>
      </w:r>
      <w:r>
        <w:t xml:space="preserve"> </w:t>
      </w:r>
      <w:r>
        <w:t xml:space="preserve">“</w:t>
      </w:r>
      <w:r>
        <w:t xml:space="preserve">improvement opportunities</w:t>
      </w:r>
      <w:r>
        <w:t xml:space="preserve">”</w:t>
      </w:r>
      <w:r>
        <w:t xml:space="preserve"> </w:t>
      </w:r>
      <w:r>
        <w:t xml:space="preserve">as mandatory fields in the template, and return any blank fields, with the lack of these three items considered as input nonconformity.</w:t>
      </w:r>
    </w:p>
    <w:p>
      <w:pPr>
        <w:numPr>
          <w:ilvl w:val="0"/>
          <w:numId w:val="1009"/>
        </w:numPr>
        <w:pStyle w:val="Compact"/>
      </w:pPr>
      <w:r>
        <w:rPr>
          <w:b/>
        </w:rPr>
        <w:t xml:space="preserve">Departments using different criteria for the same indicator</w:t>
      </w:r>
      <w:r>
        <w:t xml:space="preserve">. For example, the sales department calculates delivery timeliness based on the contract signing date, while the production department uses the production plan date, leading to a 30-minute debate during the meeting. Countermeasure: The Quality Department should clarify the definition, formula, numerator and denominator, and statistical interval of each indicator at the kick-off meeting and issue a</w:t>
      </w:r>
      <w:r>
        <w:t xml:space="preserve"> </w:t>
      </w:r>
      <w:r>
        <w:t xml:space="preserve">“</w:t>
      </w:r>
      <w:r>
        <w:t xml:space="preserve">Data Criteria Definition Table</w:t>
      </w:r>
      <w:r>
        <w:t xml:space="preserve">”</w:t>
      </w:r>
      <w:r>
        <w:t xml:space="preserve"> </w:t>
      </w:r>
      <w:r>
        <w:t xml:space="preserve">with the list, with any changes in criteria requiring approval from the Management Representative.</w:t>
      </w:r>
    </w:p>
    <w:p>
      <w:pPr>
        <w:numPr>
          <w:ilvl w:val="0"/>
          <w:numId w:val="1009"/>
        </w:numPr>
        <w:pStyle w:val="Compact"/>
      </w:pPr>
      <w:r>
        <w:rPr>
          <w:b/>
        </w:rPr>
        <w:t xml:space="preserve">Adjusting criteria or excluding data to make indicators look good</w:t>
      </w:r>
      <w:r>
        <w:t xml:space="preserve">. Changing the denominator of the nonconformity rate to</w:t>
      </w:r>
      <w:r>
        <w:t xml:space="preserve"> </w:t>
      </w:r>
      <w:r>
        <w:t xml:space="preserve">“</w:t>
      </w:r>
      <w:r>
        <w:t xml:space="preserve">number of items in stock</w:t>
      </w:r>
      <w:r>
        <w:t xml:space="preserve">”</w:t>
      </w:r>
      <w:r>
        <w:t xml:space="preserve"> </w:t>
      </w:r>
      <w:r>
        <w:t xml:space="preserve">or excluding returns from complaints may make the data look good in the short term but will be easily exposed during external audits. Countermeasure: Adhere to the four data handling principles in section 4.7, list abnormal values with both criteria, and retain approval records for criteria changes.</w:t>
      </w:r>
    </w:p>
    <w:p>
      <w:pPr>
        <w:numPr>
          <w:ilvl w:val="0"/>
          <w:numId w:val="1009"/>
        </w:numPr>
        <w:pStyle w:val="Compact"/>
      </w:pPr>
      <w:r>
        <w:rPr>
          <w:b/>
        </w:rPr>
        <w:t xml:space="preserve">Not distributing input materials before the meeting, but presenting them on the spot</w:t>
      </w:r>
      <w:r>
        <w:t xml:space="preserve">. Top management has to digest the data on the spot, and the review can only stay at the</w:t>
      </w:r>
      <w:r>
        <w:t xml:space="preserve"> </w:t>
      </w:r>
      <w:r>
        <w:t xml:space="preserve">“</w:t>
      </w:r>
      <w:r>
        <w:t xml:space="preserve">acknowledged</w:t>
      </w:r>
      <w:r>
        <w:t xml:space="preserve">”</w:t>
      </w:r>
      <w:r>
        <w:t xml:space="preserve"> </w:t>
      </w:r>
      <w:r>
        <w:t xml:space="preserve">level. Countermeasure: Write</w:t>
      </w:r>
      <w:r>
        <w:t xml:space="preserve"> </w:t>
      </w:r>
      <w:r>
        <w:t xml:space="preserve">“</w:t>
      </w:r>
      <w:r>
        <w:t xml:space="preserve">distribute 7 days in advance</w:t>
      </w:r>
      <w:r>
        <w:t xml:space="preserve">”</w:t>
      </w:r>
      <w:r>
        <w:t xml:space="preserve"> </w:t>
      </w:r>
      <w:r>
        <w:t xml:space="preserve">into this document and keep distribution records, allowing the meeting to directly enter the judgment and decision-making phase.</w:t>
      </w:r>
    </w:p>
    <w:p>
      <w:pPr>
        <w:numPr>
          <w:ilvl w:val="0"/>
          <w:numId w:val="1009"/>
        </w:numPr>
        <w:pStyle w:val="Compact"/>
      </w:pPr>
      <w:r>
        <w:rPr>
          <w:b/>
        </w:rPr>
        <w:t xml:space="preserve">No follow-up on measures from the previous review</w:t>
      </w:r>
      <w:r>
        <w:t xml:space="preserve">. This input only discusses the current situation, and no one mentions whether the resources and process revisions required in the last review have been implemented. Countermeasure: Fix the</w:t>
      </w:r>
      <w:r>
        <w:t xml:space="preserve"> </w:t>
      </w:r>
      <w:r>
        <w:t xml:space="preserve">“</w:t>
      </w:r>
      <w:r>
        <w:t xml:space="preserve">Action Tracking Form</w:t>
      </w:r>
      <w:r>
        <w:t xml:space="preserve">”</w:t>
      </w:r>
      <w:r>
        <w:t xml:space="preserve"> </w:t>
      </w:r>
      <w:r>
        <w:t xml:space="preserve">as the first item a) of the input report and Appendix 7, and any incomplete items must explain the reasons and new deadlines.</w:t>
      </w:r>
    </w:p>
    <w:p>
      <w:pPr>
        <w:numPr>
          <w:ilvl w:val="0"/>
          <w:numId w:val="1009"/>
        </w:numPr>
        <w:pStyle w:val="Compact"/>
      </w:pPr>
      <w:r>
        <w:rPr>
          <w:b/>
        </w:rPr>
        <w:t xml:space="preserve">Customer satisfaction data only includes scores without analysis</w:t>
      </w:r>
      <w:r>
        <w:t xml:space="preserve">. Reporting a score of 92 and ending there, without knowing which dimension is low, why it is low, or who it is low compared to. Countermeasure: Satisfaction input must be broken down into evaluation dimensions (quality, delivery time, service, price), list low-scoring dimensions and improvement directions, and provide sample size and response rate.</w:t>
      </w:r>
    </w:p>
    <w:p>
      <w:pPr>
        <w:numPr>
          <w:ilvl w:val="0"/>
          <w:numId w:val="1009"/>
        </w:numPr>
        <w:pStyle w:val="Compact"/>
      </w:pPr>
      <w:r>
        <w:rPr>
          <w:b/>
        </w:rPr>
        <w:t xml:space="preserve">External supplier performance only reports qualification rates</w:t>
      </w:r>
      <w:r>
        <w:t xml:space="preserve">. Delivery times, after-sales cooperation, system audit results, and change notifications are not reflected, hiding systemic issues in supplier management. Countermeasure: Collect complete data according to the evaluation dimensions in the</w:t>
      </w:r>
      <w:r>
        <w:t xml:space="preserve"> </w:t>
      </w:r>
      <w:r>
        <w:t xml:space="preserve">“</w:t>
      </w:r>
      <w:r>
        <w:t xml:space="preserve">Supplier Access and Performance Evaluation Work Instruction,</w:t>
      </w:r>
      <w:r>
        <w:t xml:space="preserve">”</w:t>
      </w:r>
      <w:r>
        <w:t xml:space="preserve"> </w:t>
      </w:r>
      <w:r>
        <w:t xml:space="preserve">at least providing scores, grading, and situations of elimination and addition.</w:t>
      </w:r>
    </w:p>
    <w:p>
      <w:pPr>
        <w:numPr>
          <w:ilvl w:val="0"/>
          <w:numId w:val="1009"/>
        </w:numPr>
        <w:pStyle w:val="Compact"/>
      </w:pPr>
      <w:r>
        <w:rPr>
          <w:b/>
        </w:rPr>
        <w:t xml:space="preserve">Resource requirements are written as wish lists</w:t>
      </w:r>
      <w:r>
        <w:t xml:space="preserve">. Requests for personnel, funds, and equipment without reasons, consequences of not investing, or expected benefits, making it impossible for management to make decisions. Countermeasure: Resource requirements should be filled out according to the five elements:</w:t>
      </w:r>
      <w:r>
        <w:t xml:space="preserve"> </w:t>
      </w:r>
      <w:r>
        <w:t xml:space="preserve">“</w:t>
      </w:r>
      <w:r>
        <w:t xml:space="preserve">gap—impact—suggested solution—investment estimate—expected effect.</w:t>
      </w:r>
      <w:r>
        <w:t xml:space="preserve">”</w:t>
      </w:r>
    </w:p>
    <w:p>
      <w:pPr>
        <w:numPr>
          <w:ilvl w:val="0"/>
          <w:numId w:val="1009"/>
        </w:numPr>
        <w:pStyle w:val="Compact"/>
      </w:pPr>
      <w:r>
        <w:rPr>
          <w:b/>
        </w:rPr>
        <w:t xml:space="preserve">Improvement opportunities are all written by the Quality Department</w:t>
      </w:r>
      <w:r>
        <w:t xml:space="preserve">. Departments provide no suggestions, indicating that input preparation is completely formal. Countermeasure: Write</w:t>
      </w:r>
      <w:r>
        <w:t xml:space="preserve"> </w:t>
      </w:r>
      <w:r>
        <w:t xml:space="preserve">“</w:t>
      </w:r>
      <w:r>
        <w:t xml:space="preserve">at least one improvement suggestion per department</w:t>
      </w:r>
      <w:r>
        <w:t xml:space="preserve">”</w:t>
      </w:r>
      <w:r>
        <w:t xml:space="preserve"> </w:t>
      </w:r>
      <w:r>
        <w:t xml:space="preserve">into the submission requirements and explain zero-suggestion departments in the report.</w:t>
      </w:r>
    </w:p>
    <w:p>
      <w:pPr>
        <w:numPr>
          <w:ilvl w:val="0"/>
          <w:numId w:val="1009"/>
        </w:numPr>
        <w:pStyle w:val="Compact"/>
      </w:pPr>
      <w:r>
        <w:rPr>
          <w:b/>
        </w:rPr>
        <w:t xml:space="preserve">One review, one file is not achieved, and materials are scattered</w:t>
      </w:r>
      <w:r>
        <w:t xml:space="preserve">. During certification audits, complete input materials cannot be provided and must be pieced together on the spot. Countermeasure: Follow section 4.9 to achieve one review, one file, and one file, one directory, with the ability to cross-reference internal and external audit files.</w:t>
      </w:r>
    </w:p>
    <w:p>
      <w:r>
        <w:pict>
          <v:rect style="width:0;height:1.5pt" o:hralign="center" o:hrstd="t" o:hr="t"/>
        </w:pict>
      </w:r>
    </w:p>
    <w:p>
      <w:pPr>
        <w:pStyle w:val="BlockText"/>
      </w:pPr>
      <w:r>
        <w:t xml:space="preserve">Whether the management review is empty or not, the answer lies in the inputs before the meeting.</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2026-10-07T09:30:32Z</dcterms:created>
  <dcterms:modified xsi:type="dcterms:W3CDTF">2026-10-07T09:30:32Z</dcterms:modified>
</cp:coreProperties>
</file>

<file path=docProps/custom.xml><?xml version="1.0" encoding="utf-8"?>
<Properties xmlns="http://schemas.openxmlformats.org/officeDocument/2006/custom-properties" xmlns:vt="http://schemas.openxmlformats.org/officeDocument/2006/docPropsVTypes"/>
</file>