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27581f98dddc21954db62c06fcfb83ee07f793"/>
      <w:r>
        <w:t xml:space="preserve">ISO9001 System Document Package (26) | Management Review Procedure (9.3)</w:t>
      </w:r>
      <w:bookmarkEnd w:id="20"/>
    </w:p>
    <w:p>
      <w:pPr>
        <w:pStyle w:val="BlockText"/>
      </w:pPr>
      <w:r>
        <w:rPr>
          <w:b/>
        </w:rPr>
        <w:t xml:space="preserve">Document Description</w:t>
      </w:r>
      <w:r>
        <w:t xml:space="preserve">: This procedure corresponds to clause 9.3</w:t>
      </w:r>
      <w:r>
        <w:t xml:space="preserve"> </w:t>
      </w:r>
      <w:r>
        <w:t xml:space="preserve">“</w:t>
      </w:r>
      <w:r>
        <w:t xml:space="preserve">Management Review</w:t>
      </w:r>
      <w:r>
        <w:t xml:space="preserve">”</w:t>
      </w:r>
      <w:r>
        <w:t xml:space="preserve"> </w:t>
      </w:r>
      <w:r>
        <w:t xml:space="preserve">of the ISO 9001:2015 standard. It is the highest-level activity in the</w:t>
      </w:r>
      <w:r>
        <w:t xml:space="preserve"> </w:t>
      </w:r>
      <w:r>
        <w:t xml:space="preserve">“</w:t>
      </w:r>
      <w:r>
        <w:t xml:space="preserve">C (Check)</w:t>
      </w:r>
      <w:r>
        <w:t xml:space="preserve">”</w:t>
      </w:r>
      <w:r>
        <w:t xml:space="preserve"> </w:t>
      </w:r>
      <w:r>
        <w:t xml:space="preserve">phase of the quality management system (QMS) PDCA cycle and serves as a critical link between system operation and strategic decision-making. It is personally chaired by the top management at planned intervals to systematically evaluate the suitability, adequacy, and effectiveness of the system, and to output decisions on improvement, changes, and resource assurance. The management review is not a repetition of the internal audit but rather a comprehensive assessment from a global perspective, answering three key questions: Is the system still suitable for us? Is it sufficiently comprehensive? Is it operating effectively? During certification audits, external auditors will check the evidence of the top management’s participation and the completeness of the inputs and outputs. This procedure is applicable to all manufacturing and service enterprises, especially small and medium-sized enterprises that need to standardize their annual system reviews and streamline their high-level decision-making mechanisms. It can be directly applied and tailored according to the organization’s size.</w:t>
      </w:r>
    </w:p>
    <w:p>
      <w:pPr>
        <w:pStyle w:val="BlockText"/>
      </w:pPr>
      <w:r>
        <w:t xml:space="preserve">Note: This procedure is a template. Terms such as</w:t>
      </w:r>
      <w:r>
        <w:t xml:space="preserve"> </w:t>
      </w:r>
      <w:r>
        <w:t xml:space="preserve">“</w:t>
      </w:r>
      <w:r>
        <w:t xml:space="preserve">our company</w:t>
      </w:r>
      <w:r>
        <w:t xml:space="preserve">”</w:t>
      </w:r>
      <w:r>
        <w:t xml:space="preserve"> </w:t>
      </w:r>
      <w:r>
        <w:t xml:space="preserve">and</w:t>
      </w:r>
      <w:r>
        <w:t xml:space="preserve"> </w:t>
      </w:r>
      <w:r>
        <w:t xml:space="preserve">“</w:t>
      </w:r>
      <w:r>
        <w:t xml:space="preserve">responsible department</w:t>
      </w:r>
      <w:r>
        <w:t xml:space="preserve">”</w:t>
      </w:r>
      <w:r>
        <w:t xml:space="preserve"> </w:t>
      </w:r>
      <w:r>
        <w:t xml:space="preserve">should be replaced with the corresponding department names based on the actual situation of the enterprise.</w:t>
      </w:r>
    </w:p>
    <w:p>
      <w:pPr>
        <w:pStyle w:val="Heading2"/>
      </w:pPr>
      <w:bookmarkStart w:id="21" w:name="purpose"/>
      <w:r>
        <w:t xml:space="preserve">1. Purpose</w:t>
      </w:r>
      <w:bookmarkEnd w:id="21"/>
    </w:p>
    <w:p>
      <w:pPr>
        <w:pStyle w:val="FirstParagraph"/>
      </w:pPr>
      <w:r>
        <w:t xml:space="preserve">To standardize the planning, input, implementation, output, and tracking verification processes of our company’s management review, ensuring the QMS is continuously:</w:t>
      </w:r>
    </w:p>
    <w:p>
      <w:pPr>
        <w:numPr>
          <w:ilvl w:val="0"/>
          <w:numId w:val="1001"/>
        </w:numPr>
        <w:pStyle w:val="Compact"/>
      </w:pPr>
      <w:r>
        <w:rPr>
          <w:b/>
        </w:rPr>
        <w:t xml:space="preserve">Suitable</w:t>
      </w:r>
      <w:r>
        <w:t xml:space="preserve">—adapted to internal and external environmental changes, strategic direction, and stakeholder requirements;</w:t>
      </w:r>
    </w:p>
    <w:p>
      <w:pPr>
        <w:numPr>
          <w:ilvl w:val="0"/>
          <w:numId w:val="1001"/>
        </w:numPr>
        <w:pStyle w:val="Compact"/>
      </w:pPr>
      <w:r>
        <w:rPr>
          <w:b/>
        </w:rPr>
        <w:t xml:space="preserve">Adequate</w:t>
      </w:r>
      <w:r>
        <w:t xml:space="preserve">—the scope of coverage, resource allocation, and process planning are sufficient to meet the requirements;</w:t>
      </w:r>
    </w:p>
    <w:p>
      <w:pPr>
        <w:numPr>
          <w:ilvl w:val="0"/>
          <w:numId w:val="1001"/>
        </w:numPr>
        <w:pStyle w:val="Compact"/>
      </w:pPr>
      <w:r>
        <w:rPr>
          <w:b/>
        </w:rPr>
        <w:t xml:space="preserve">Effective</w:t>
      </w:r>
      <w:r>
        <w:t xml:space="preserve">—the policy and objectives are achieved, and the system operation results meet expectations.</w:t>
      </w:r>
    </w:p>
    <w:p>
      <w:pPr>
        <w:pStyle w:val="FirstParagraph"/>
      </w:pPr>
      <w:r>
        <w:t xml:space="preserve">Simultaneously, it provides a basis for system improvement, change decisions, and resource investment, ensuring that the management review truly becomes a fixed mechanism for the top management to implement quality leadership.</w:t>
      </w:r>
    </w:p>
    <w:p>
      <w:pPr>
        <w:pStyle w:val="Heading2"/>
      </w:pPr>
      <w:bookmarkStart w:id="22" w:name="scope-of-application"/>
      <w:r>
        <w:t xml:space="preserve">2. Scope of Application</w:t>
      </w:r>
      <w:bookmarkEnd w:id="22"/>
    </w:p>
    <w:p>
      <w:pPr>
        <w:pStyle w:val="FirstParagraph"/>
      </w:pPr>
      <w:r>
        <w:t xml:space="preserve">This procedure applies to the regular review activities conducted by the top management of our company on the overall operation of the QMS. It covers all processes, departments, and locations within the system, including management, functional departments, production workshops, warehouses, inspection sites, and service locations.</w:t>
      </w:r>
    </w:p>
    <w:p>
      <w:pPr>
        <w:pStyle w:val="BodyText"/>
      </w:pPr>
      <w:r>
        <w:t xml:space="preserve">When necessary (such as during standard revisions, significant strategic adjustments, mergers and acquisitions, etc.), special management reviews can be conducted for specific issues, following this procedure. This procedure does not replace internal audits, regular meetings, or special technical reviews.</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General Manager (Top Management)</w:t>
            </w:r>
          </w:p>
        </w:tc>
        <w:tc>
          <w:p>
            <w:pPr>
              <w:pStyle w:val="Compact"/>
              <w:jc w:val="left"/>
            </w:pPr>
            <w:r>
              <w:t xml:space="preserve">Personally chair the management review meeting; approve the</w:t>
            </w:r>
            <w:r>
              <w:t xml:space="preserve"> </w:t>
            </w:r>
            <w:r>
              <w:t xml:space="preserve">“</w:t>
            </w:r>
            <w:r>
              <w:t xml:space="preserve">Annual Management Review Plan</w:t>
            </w:r>
            <w:r>
              <w:t xml:space="preserve">”</w:t>
            </w:r>
            <w:r>
              <w:t xml:space="preserve"> </w:t>
            </w:r>
            <w:r>
              <w:t xml:space="preserve">and the</w:t>
            </w:r>
            <w:r>
              <w:t xml:space="preserve"> </w:t>
            </w:r>
            <w:r>
              <w:t xml:space="preserve">“</w:t>
            </w:r>
            <w:r>
              <w:t xml:space="preserve">Management Review Report</w:t>
            </w:r>
            <w:r>
              <w:t xml:space="preserve">”</w:t>
            </w:r>
            <w:r>
              <w:t xml:space="preserve">; make decisions on the matters resolved in the review; provide necessary resources for the implementation of the decisions</w:t>
            </w:r>
          </w:p>
        </w:tc>
      </w:tr>
      <w:tr>
        <w:tc>
          <w:p>
            <w:pPr>
              <w:pStyle w:val="Compact"/>
              <w:jc w:val="left"/>
            </w:pPr>
            <w:r>
              <w:t xml:space="preserve">Management Representative</w:t>
            </w:r>
          </w:p>
        </w:tc>
        <w:tc>
          <w:p>
            <w:pPr>
              <w:pStyle w:val="Compact"/>
              <w:jc w:val="left"/>
            </w:pPr>
            <w:r>
              <w:t xml:space="preserve">Review the review plan and input materials; organize the responsible department to compile the input reports; report the overall performance and trends of the system to the General Manager; track and supervise the implementation of the resolved matters</w:t>
            </w:r>
          </w:p>
        </w:tc>
      </w:tr>
      <w:tr>
        <w:tc>
          <w:p>
            <w:pPr>
              <w:pStyle w:val="Compact"/>
              <w:jc w:val="left"/>
            </w:pPr>
            <w:r>
              <w:t xml:space="preserve">Responsible Department (Quality Department/Enterprise Management Department)</w:t>
            </w:r>
          </w:p>
        </w:tc>
        <w:tc>
          <w:p>
            <w:pPr>
              <w:pStyle w:val="Compact"/>
              <w:jc w:val="left"/>
            </w:pPr>
            <w:r>
              <w:t xml:space="preserve">Draft the review plan and input outline; collect and preliminarily review input reports from various departments; prepare the draft of the</w:t>
            </w:r>
            <w:r>
              <w:t xml:space="preserve"> </w:t>
            </w:r>
            <w:r>
              <w:t xml:space="preserve">“</w:t>
            </w:r>
            <w:r>
              <w:t xml:space="preserve">Management Review Report</w:t>
            </w:r>
            <w:r>
              <w:t xml:space="preserve">”</w:t>
            </w:r>
            <w:r>
              <w:t xml:space="preserve">; establish a ledger of resolved measures and organize tracking verification; manage the review records</w:t>
            </w:r>
          </w:p>
        </w:tc>
      </w:tr>
      <w:tr>
        <w:tc>
          <w:p>
            <w:pPr>
              <w:pStyle w:val="Compact"/>
              <w:jc w:val="left"/>
            </w:pPr>
            <w:r>
              <w:t xml:space="preserve">Various Functional Departments/Workshops</w:t>
            </w:r>
          </w:p>
        </w:tc>
        <w:tc>
          <w:p>
            <w:pPr>
              <w:pStyle w:val="Compact"/>
              <w:jc w:val="left"/>
            </w:pPr>
            <w:r>
              <w:t xml:space="preserve">Prepare input materials (data, reports, charts) according to the input outline, confirmed by the department head and submitted on time; send representatives to attend the review meeting; implement and provide completion evidence for matters related to the department</w:t>
            </w:r>
          </w:p>
        </w:tc>
      </w:tr>
    </w:tbl>
    <w:p>
      <w:pPr>
        <w:pStyle w:val="BodyText"/>
      </w:pPr>
      <w:r>
        <w:t xml:space="preserve">The management review is a statutory responsibility of the top management and cannot be delegated to the management representative or the responsible department. If the top management is unable to chair the meeting on schedule due to unforeseen circumstances, a deferred date should be determined and recorded.</w:t>
      </w:r>
    </w:p>
    <w:p>
      <w:pPr>
        <w:pStyle w:val="Heading2"/>
      </w:pPr>
      <w:bookmarkStart w:id="24" w:name="work-procedures"/>
      <w:r>
        <w:t xml:space="preserve">4. Work Procedures</w:t>
      </w:r>
      <w:bookmarkEnd w:id="24"/>
    </w:p>
    <w:p>
      <w:pPr>
        <w:pStyle w:val="Heading3"/>
      </w:pPr>
      <w:bookmarkStart w:id="25" w:name="review-planning"/>
      <w:r>
        <w:t xml:space="preserve">4.1 Review Planning</w:t>
      </w:r>
      <w:bookmarkEnd w:id="25"/>
    </w:p>
    <w:p>
      <w:pPr>
        <w:numPr>
          <w:ilvl w:val="0"/>
          <w:numId w:val="1002"/>
        </w:numPr>
        <w:pStyle w:val="Compact"/>
      </w:pPr>
      <w:r>
        <w:t xml:space="preserve">The management review should be conducted at least once a year, with a principle interval of no more than 12 months between two reviews. The responsible department compiles the</w:t>
      </w:r>
      <w:r>
        <w:t xml:space="preserve"> </w:t>
      </w:r>
      <w:r>
        <w:t xml:space="preserve">“</w:t>
      </w:r>
      <w:r>
        <w:t xml:space="preserve">Annual Management Review Plan</w:t>
      </w:r>
      <w:r>
        <w:t xml:space="preserve">”</w:t>
      </w:r>
      <w:r>
        <w:t xml:space="preserve"> </w:t>
      </w:r>
      <w:r>
        <w:t xml:space="preserve">by December each year (or before the start of the review cycle), specifying the review purpose, time, location, participants, review scope, division of input materials, and submission deadlines. The plan is reviewed by the management representative and approved by the General Manager before distribution.</w:t>
      </w:r>
    </w:p>
    <w:p>
      <w:pPr>
        <w:numPr>
          <w:ilvl w:val="0"/>
          <w:numId w:val="1002"/>
        </w:numPr>
        <w:pStyle w:val="Compact"/>
      </w:pPr>
      <w:r>
        <w:t xml:space="preserve">The frequency of reviews should consider the maturity and performance of the system, internal and external audit results, the frequency of significant changes, and industry regulatory requirements. Reviews should be more frequent in the year of system revision or initial certification, or when significant quality incidents or major customer complaints occur.</w:t>
      </w:r>
    </w:p>
    <w:p>
      <w:pPr>
        <w:numPr>
          <w:ilvl w:val="0"/>
          <w:numId w:val="1002"/>
        </w:numPr>
        <w:pStyle w:val="Compact"/>
      </w:pPr>
      <w:r>
        <w:t xml:space="preserve">A temporary management review can be added under the following circumstances: significant adjustments in organizational structure, product structure, or strategic direction; occurrence of significant quality incidents, batch recalls, or major customer complaints; standard revisions or significant changes in applicable regulations; significant changes in external suppliers, market, or policy environment; when the General Manager deems it necessary. The temporary review can be directly convened by the General Manager, and the input content can be tailored to the actual issues.</w:t>
      </w:r>
    </w:p>
    <w:p>
      <w:pPr>
        <w:numPr>
          <w:ilvl w:val="0"/>
          <w:numId w:val="1002"/>
        </w:numPr>
        <w:pStyle w:val="Compact"/>
      </w:pPr>
      <w:r>
        <w:t xml:space="preserve">The responsible department issues the</w:t>
      </w:r>
      <w:r>
        <w:t xml:space="preserve"> </w:t>
      </w:r>
      <w:r>
        <w:t xml:space="preserve">“</w:t>
      </w:r>
      <w:r>
        <w:t xml:space="preserve">Management Review Input Outline</w:t>
      </w:r>
      <w:r>
        <w:t xml:space="preserve">”</w:t>
      </w:r>
      <w:r>
        <w:t xml:space="preserve"> </w:t>
      </w:r>
      <w:r>
        <w:t xml:space="preserve">(including the format, data criteria, and submission deadlines for each input item) along with the plan. The deadline for submitting input materials should be 3 to 5 working days before the review meeting.</w:t>
      </w:r>
    </w:p>
    <w:p>
      <w:pPr>
        <w:pStyle w:val="Heading3"/>
      </w:pPr>
      <w:bookmarkStart w:id="26" w:name="preparation-of-review-inputs"/>
      <w:r>
        <w:t xml:space="preserve">4.2 Preparation of Review Inputs</w:t>
      </w:r>
      <w:bookmarkEnd w:id="26"/>
    </w:p>
    <w:p>
      <w:pPr>
        <w:pStyle w:val="FirstParagraph"/>
      </w:pPr>
      <w:r>
        <w:t xml:space="preserve">Each department prepares input materials according to the input outline, covering all elements required by clause 9.3.2 of the standard:</w:t>
      </w:r>
    </w:p>
    <w:p>
      <w:pPr>
        <w:numPr>
          <w:ilvl w:val="0"/>
          <w:numId w:val="1003"/>
        </w:numPr>
        <w:pStyle w:val="Compact"/>
      </w:pPr>
      <w:r>
        <w:rPr>
          <w:b/>
        </w:rPr>
        <w:t xml:space="preserve">Implementation status of measures taken from previous management reviews</w:t>
      </w:r>
      <w:r>
        <w:t xml:space="preserve">—the ledger of measures from the last review, completion rates, and validation conclusions of effectiveness;</w:t>
      </w:r>
    </w:p>
    <w:p>
      <w:pPr>
        <w:numPr>
          <w:ilvl w:val="0"/>
          <w:numId w:val="1003"/>
        </w:numPr>
        <w:pStyle w:val="Compact"/>
      </w:pPr>
      <w:r>
        <w:rPr>
          <w:b/>
        </w:rPr>
        <w:t xml:space="preserve">Changes in internal and external factors related to the QMS</w:t>
      </w:r>
      <w:r>
        <w:t xml:space="preserve">—monitoring results of the organizational environment (market, technology, regulations, policies, competitive situation, and internal changes);</w:t>
      </w:r>
    </w:p>
    <w:p>
      <w:pPr>
        <w:numPr>
          <w:ilvl w:val="0"/>
          <w:numId w:val="1003"/>
        </w:numPr>
        <w:pStyle w:val="Compact"/>
      </w:pPr>
      <w:r>
        <w:rPr>
          <w:b/>
        </w:rPr>
        <w:t xml:space="preserve">Information and trends related to the performance and effectiveness of the QMS</w:t>
      </w:r>
      <w:r>
        <w:t xml:space="preserve">:</w:t>
      </w:r>
    </w:p>
    <w:p>
      <w:pPr>
        <w:numPr>
          <w:ilvl w:val="2"/>
          <w:numId w:val="1005"/>
        </w:numPr>
        <w:pStyle w:val="Compact"/>
      </w:pPr>
      <w:r>
        <w:t xml:space="preserve">Customer satisfaction, customer feedback, and complaint handling;</w:t>
      </w:r>
    </w:p>
    <w:p>
      <w:pPr>
        <w:numPr>
          <w:ilvl w:val="2"/>
          <w:numId w:val="1006"/>
        </w:numPr>
        <w:pStyle w:val="Compact"/>
      </w:pPr>
      <w:r>
        <w:t xml:space="preserve">Achievement of quality objectives (comparing each objective and department);</w:t>
      </w:r>
    </w:p>
    <w:p>
      <w:pPr>
        <w:numPr>
          <w:ilvl w:val="2"/>
          <w:numId w:val="1007"/>
        </w:numPr>
        <w:pStyle w:val="Compact"/>
      </w:pPr>
      <w:r>
        <w:t xml:space="preserve">Process performance and conformity of products and services (first-time pass rate, on-time delivery rate, process capability, etc.);</w:t>
      </w:r>
    </w:p>
    <w:p>
      <w:pPr>
        <w:numPr>
          <w:ilvl w:val="2"/>
          <w:numId w:val="1008"/>
        </w:numPr>
        <w:pStyle w:val="Compact"/>
      </w:pPr>
      <w:r>
        <w:t xml:space="preserve">Nonconformities and corrective actions (internal and external nonconforming batches, distribution, and closed-loop handling);</w:t>
      </w:r>
    </w:p>
    <w:p>
      <w:pPr>
        <w:numPr>
          <w:ilvl w:val="2"/>
          <w:numId w:val="1009"/>
        </w:numPr>
        <w:pStyle w:val="Compact"/>
      </w:pPr>
      <w:r>
        <w:t xml:space="preserve">Monitoring and measurement results (process monitoring, product inspection, equipment, and measurement status);</w:t>
      </w:r>
    </w:p>
    <w:p>
      <w:pPr>
        <w:numPr>
          <w:ilvl w:val="2"/>
          <w:numId w:val="1010"/>
        </w:numPr>
        <w:pStyle w:val="Compact"/>
      </w:pPr>
      <w:r>
        <w:t xml:space="preserve">Audit results (findings and nonconformities from internal audits, certification audits, and second-party audits);</w:t>
      </w:r>
    </w:p>
    <w:p>
      <w:pPr>
        <w:numPr>
          <w:ilvl w:val="2"/>
          <w:numId w:val="1011"/>
        </w:numPr>
        <w:pStyle w:val="Compact"/>
      </w:pPr>
      <w:r>
        <w:t xml:space="preserve">Performance of external suppliers (supplier evaluation results, incoming material pass rate, delivery, and cooperation level);</w:t>
      </w:r>
    </w:p>
    <w:p>
      <w:pPr>
        <w:numPr>
          <w:ilvl w:val="0"/>
          <w:numId w:val="1003"/>
        </w:numPr>
        <w:pStyle w:val="Compact"/>
      </w:pPr>
      <w:r>
        <w:rPr>
          <w:b/>
        </w:rPr>
        <w:t xml:space="preserve">Adequacy of resources</w:t>
      </w:r>
      <w:r>
        <w:t xml:space="preserve">—satisfaction and gaps in human resources, equipment, monitoring resources, knowledge resources, and work environment;</w:t>
      </w:r>
    </w:p>
    <w:p>
      <w:pPr>
        <w:numPr>
          <w:ilvl w:val="0"/>
          <w:numId w:val="1003"/>
        </w:numPr>
        <w:pStyle w:val="Compact"/>
      </w:pPr>
      <w:r>
        <w:rPr>
          <w:b/>
        </w:rPr>
        <w:t xml:space="preserve">Effectiveness of measures taken to address risks and opportunities</w:t>
      </w:r>
      <w:r>
        <w:t xml:space="preserve">—update status of the risk and opportunity list, implementation of measures, and residual risk assessment;</w:t>
      </w:r>
    </w:p>
    <w:p>
      <w:pPr>
        <w:numPr>
          <w:ilvl w:val="0"/>
          <w:numId w:val="1003"/>
        </w:numPr>
        <w:pStyle w:val="Compact"/>
      </w:pPr>
      <w:r>
        <w:rPr>
          <w:b/>
        </w:rPr>
        <w:t xml:space="preserve">Opportunities for improvement</w:t>
      </w:r>
      <w:r>
        <w:t xml:space="preserve">—improvement needs derived from data analysis, rational suggestions, and benchmarking.</w:t>
      </w:r>
    </w:p>
    <w:p>
      <w:pPr>
        <w:pStyle w:val="FirstParagraph"/>
      </w:pPr>
      <w:r>
        <w:t xml:space="preserve">Organizations can add the following inputs as needed: compliance evaluation results, quality cost (loss cost, prevention cost) analysis, feedback from stakeholders (regulators, community, employees), and the implementation status of the previous year’s strategic and operational objectives.</w:t>
      </w:r>
    </w:p>
    <w:p>
      <w:pPr>
        <w:pStyle w:val="BodyText"/>
      </w:pPr>
      <w:r>
        <w:t xml:space="preserve">Input materials should</w:t>
      </w:r>
      <w:r>
        <w:t xml:space="preserve"> </w:t>
      </w:r>
      <w:r>
        <w:rPr>
          <w:b/>
        </w:rPr>
        <w:t xml:space="preserve">speak with data</w:t>
      </w:r>
      <w:r>
        <w:t xml:space="preserve">: include trend charts, comparison tables, and cause analysis, avoiding vague statements like</w:t>
      </w:r>
      <w:r>
        <w:t xml:space="preserve"> </w:t>
      </w:r>
      <w:r>
        <w:t xml:space="preserve">“</w:t>
      </w:r>
      <w:r>
        <w:t xml:space="preserve">normal</w:t>
      </w:r>
      <w:r>
        <w:t xml:space="preserve">”</w:t>
      </w:r>
      <w:r>
        <w:t xml:space="preserve"> </w:t>
      </w:r>
      <w:r>
        <w:t xml:space="preserve">or</w:t>
      </w:r>
      <w:r>
        <w:t xml:space="preserve"> </w:t>
      </w:r>
      <w:r>
        <w:t xml:space="preserve">“</w:t>
      </w:r>
      <w:r>
        <w:t xml:space="preserve">good.</w:t>
      </w:r>
      <w:r>
        <w:t xml:space="preserve">”</w:t>
      </w:r>
      <w:r>
        <w:t xml:space="preserve"> </w:t>
      </w:r>
      <w:r>
        <w:t xml:space="preserve">Input reports must be signed by the department head and submitted to the responsible department for preliminary review. Materials that are obviously incomplete or have inconsistent data criteria should be returned for supplementation.</w:t>
      </w:r>
      <w:r>
        <w:t xml:space="preserve"> </w:t>
      </w:r>
      <w:r>
        <w:rPr>
          <w:b/>
        </w:rPr>
        <w:t xml:space="preserve">The review meeting shall not be held if the input materials are not prepared according to the outline.</w:t>
      </w:r>
    </w:p>
    <w:p>
      <w:pPr>
        <w:pStyle w:val="Heading3"/>
      </w:pPr>
      <w:bookmarkStart w:id="27" w:name="implementation-of-the-review-meeting"/>
      <w:r>
        <w:t xml:space="preserve">4.3 Implementation of the Review Meeting</w:t>
      </w:r>
      <w:bookmarkEnd w:id="27"/>
    </w:p>
    <w:p>
      <w:pPr>
        <w:numPr>
          <w:ilvl w:val="0"/>
          <w:numId w:val="1012"/>
        </w:numPr>
        <w:pStyle w:val="Compact"/>
      </w:pPr>
      <w:r>
        <w:t xml:space="preserve">The management review meeting is chaired by the General Manager, with the management representative, department heads, and relevant personnel attending. Key external suppliers, customer representatives, or external experts may be invited to attend as necessary.</w:t>
      </w:r>
    </w:p>
    <w:p>
      <w:pPr>
        <w:numPr>
          <w:ilvl w:val="0"/>
          <w:numId w:val="1012"/>
        </w:numPr>
        <w:pStyle w:val="Compact"/>
      </w:pPr>
      <w:r>
        <w:t xml:space="preserve">The meeting agenda generally follows this sequence:</w:t>
      </w:r>
    </w:p>
    <w:p>
      <w:pPr>
        <w:numPr>
          <w:ilvl w:val="2"/>
          <w:numId w:val="1014"/>
        </w:numPr>
        <w:pStyle w:val="Compact"/>
      </w:pPr>
      <w:r>
        <w:t xml:space="preserve">The chairperson announces the review purpose and agenda;</w:t>
      </w:r>
    </w:p>
    <w:p>
      <w:pPr>
        <w:numPr>
          <w:ilvl w:val="2"/>
          <w:numId w:val="1015"/>
        </w:numPr>
        <w:pStyle w:val="Compact"/>
      </w:pPr>
      <w:r>
        <w:t xml:space="preserve">The responsible department reports on the implementation status of the previous review’s resolutions (item-by-item completion rates);</w:t>
      </w:r>
    </w:p>
    <w:p>
      <w:pPr>
        <w:numPr>
          <w:ilvl w:val="2"/>
          <w:numId w:val="1016"/>
        </w:numPr>
        <w:pStyle w:val="Compact"/>
      </w:pPr>
      <w:r>
        <w:t xml:space="preserve">Each input report is heard in turn, with participants questioning and discussing;</w:t>
      </w:r>
    </w:p>
    <w:p>
      <w:pPr>
        <w:numPr>
          <w:ilvl w:val="2"/>
          <w:numId w:val="1017"/>
        </w:numPr>
        <w:pStyle w:val="Compact"/>
      </w:pPr>
      <w:r>
        <w:t xml:space="preserve">Each item is evaluated for suitability, adequacy, and effectiveness;</w:t>
      </w:r>
    </w:p>
    <w:p>
      <w:pPr>
        <w:numPr>
          <w:ilvl w:val="2"/>
          <w:numId w:val="1018"/>
        </w:numPr>
        <w:pStyle w:val="Compact"/>
      </w:pPr>
      <w:r>
        <w:t xml:space="preserve">Root cause analysis is conducted for significant performance gaps and risk issues;</w:t>
      </w:r>
    </w:p>
    <w:p>
      <w:pPr>
        <w:numPr>
          <w:ilvl w:val="2"/>
          <w:numId w:val="1019"/>
        </w:numPr>
        <w:pStyle w:val="Compact"/>
      </w:pPr>
      <w:r>
        <w:t xml:space="preserve">Resolutions are formed item by item (what to do, who will do it, when to complete), confirmed by the chairperson on the spot.</w:t>
      </w:r>
    </w:p>
    <w:p>
      <w:pPr>
        <w:numPr>
          <w:ilvl w:val="0"/>
          <w:numId w:val="1012"/>
        </w:numPr>
        <w:pStyle w:val="Compact"/>
      </w:pPr>
      <w:r>
        <w:t xml:space="preserve">The responsible department designates a specific person to record the meeting, forming the</w:t>
      </w:r>
      <w:r>
        <w:t xml:space="preserve"> </w:t>
      </w:r>
      <w:r>
        <w:t xml:space="preserve">“</w:t>
      </w:r>
      <w:r>
        <w:t xml:space="preserve">Management Review Meeting Record.</w:t>
      </w:r>
      <w:r>
        <w:t xml:space="preserve">”</w:t>
      </w:r>
      <w:r>
        <w:t xml:space="preserve"> </w:t>
      </w:r>
      <w:r>
        <w:t xml:space="preserve">The record should truthfully document discussion points, evaluation conclusions, resolution items, responsible departments, and completion deadlines. The meeting duration is generally controlled to within half a day, with longer sessions divided into specialized topics.</w:t>
      </w:r>
    </w:p>
    <w:p>
      <w:pPr>
        <w:numPr>
          <w:ilvl w:val="0"/>
          <w:numId w:val="1012"/>
        </w:numPr>
        <w:pStyle w:val="Compact"/>
      </w:pPr>
      <w:r>
        <w:t xml:space="preserve">For major issues that cannot be resolved on the spot, the General Manager should specify the decision-making method and timeline (e.g., 5 to 10 working days for specialized research), and these issues should not be left unaddressed.</w:t>
      </w:r>
    </w:p>
    <w:p>
      <w:pPr>
        <w:pStyle w:val="Heading3"/>
      </w:pPr>
      <w:bookmarkStart w:id="28" w:name="review-output"/>
      <w:r>
        <w:t xml:space="preserve">4.4 Review Output</w:t>
      </w:r>
      <w:bookmarkEnd w:id="28"/>
    </w:p>
    <w:p>
      <w:pPr>
        <w:numPr>
          <w:ilvl w:val="0"/>
          <w:numId w:val="1020"/>
        </w:numPr>
        <w:pStyle w:val="Compact"/>
      </w:pPr>
      <w:r>
        <w:t xml:space="preserve">The responsible department compiles the</w:t>
      </w:r>
      <w:r>
        <w:t xml:space="preserve"> </w:t>
      </w:r>
      <w:r>
        <w:t xml:space="preserve">“</w:t>
      </w:r>
      <w:r>
        <w:t xml:space="preserve">Management Review Report</w:t>
      </w:r>
      <w:r>
        <w:t xml:space="preserve">”</w:t>
      </w:r>
      <w:r>
        <w:t xml:space="preserve"> </w:t>
      </w:r>
      <w:r>
        <w:t xml:space="preserve">within 5 to 7 working days after the review meeting. The report should include: review purpose, time, location, chairperson, participants, summary of inputs, evaluation conclusions on the three aspects of the system (suitability, adequacy, effectiveness), major achievements and shortcomings, and a list of resolution items.</w:t>
      </w:r>
    </w:p>
    <w:p>
      <w:pPr>
        <w:numPr>
          <w:ilvl w:val="0"/>
          <w:numId w:val="1020"/>
        </w:numPr>
        <w:pStyle w:val="Compact"/>
      </w:pPr>
      <w:r>
        <w:t xml:space="preserve">The review output should include the following decisions and measures (in line with clause 9.3.3 of the standard):</w:t>
      </w:r>
    </w:p>
    <w:p>
      <w:pPr>
        <w:numPr>
          <w:ilvl w:val="2"/>
          <w:numId w:val="1022"/>
        </w:numPr>
        <w:pStyle w:val="Compact"/>
      </w:pPr>
      <w:r>
        <w:rPr>
          <w:b/>
        </w:rPr>
        <w:t xml:space="preserve">Opportunities for improvement</w:t>
      </w:r>
      <w:r>
        <w:t xml:space="preserve">: improvement projects for products, processes, and the system, suggestions for adjusting the quality policy and objectives;</w:t>
      </w:r>
    </w:p>
    <w:p>
      <w:pPr>
        <w:numPr>
          <w:ilvl w:val="2"/>
          <w:numId w:val="1023"/>
        </w:numPr>
        <w:pStyle w:val="Compact"/>
      </w:pPr>
      <w:r>
        <w:rPr>
          <w:b/>
        </w:rPr>
        <w:t xml:space="preserve">Changes required in the QMS</w:t>
      </w:r>
      <w:r>
        <w:t xml:space="preserve">: revisions to the document system, adjustments to organizational structure and responsibilities, addition or modification of processes;</w:t>
      </w:r>
    </w:p>
    <w:p>
      <w:pPr>
        <w:numPr>
          <w:ilvl w:val="2"/>
          <w:numId w:val="1024"/>
        </w:numPr>
        <w:pStyle w:val="Compact"/>
      </w:pPr>
      <w:r>
        <w:rPr>
          <w:b/>
        </w:rPr>
        <w:t xml:space="preserve">Resource requirements</w:t>
      </w:r>
      <w:r>
        <w:t xml:space="preserve">: personnel configuration and capability building, equipment updates, measurement and testing resources, budget, knowledge resources, etc.</w:t>
      </w:r>
    </w:p>
    <w:p>
      <w:pPr>
        <w:numPr>
          <w:ilvl w:val="0"/>
          <w:numId w:val="1020"/>
        </w:numPr>
        <w:pStyle w:val="Compact"/>
      </w:pPr>
      <w:r>
        <w:t xml:space="preserve">The</w:t>
      </w:r>
      <w:r>
        <w:t xml:space="preserve"> </w:t>
      </w:r>
      <w:r>
        <w:t xml:space="preserve">“</w:t>
      </w:r>
      <w:r>
        <w:t xml:space="preserve">Management Review Report</w:t>
      </w:r>
      <w:r>
        <w:t xml:space="preserve">”</w:t>
      </w:r>
      <w:r>
        <w:t xml:space="preserve"> </w:t>
      </w:r>
      <w:r>
        <w:t xml:space="preserve">is approved by the General Manager and distributed to relevant departments by the responsible department according to the</w:t>
      </w:r>
      <w:r>
        <w:t xml:space="preserve"> </w:t>
      </w:r>
      <w:r>
        <w:t xml:space="preserve">“</w:t>
      </w:r>
      <w:r>
        <w:t xml:space="preserve">Document Control Procedure,</w:t>
      </w:r>
      <w:r>
        <w:t xml:space="preserve">”</w:t>
      </w:r>
      <w:r>
        <w:t xml:space="preserve"> </w:t>
      </w:r>
      <w:r>
        <w:t xml:space="preserve">and it is managed as a controlled document.</w:t>
      </w:r>
    </w:p>
    <w:p>
      <w:pPr>
        <w:pStyle w:val="Heading3"/>
      </w:pPr>
      <w:bookmarkStart w:id="29" w:name="X0edaedf8023d0e2d6d07602684f88bcefb8fbe7"/>
      <w:r>
        <w:t xml:space="preserve">4.5 Implementation and Tracking Verification of Resolutions</w:t>
      </w:r>
      <w:bookmarkEnd w:id="29"/>
    </w:p>
    <w:p>
      <w:pPr>
        <w:numPr>
          <w:ilvl w:val="0"/>
          <w:numId w:val="1025"/>
        </w:numPr>
        <w:pStyle w:val="Compact"/>
      </w:pPr>
      <w:r>
        <w:t xml:space="preserve">The responsible department enters each resolution item from the report into the</w:t>
      </w:r>
      <w:r>
        <w:t xml:space="preserve"> </w:t>
      </w:r>
      <w:r>
        <w:t xml:space="preserve">“</w:t>
      </w:r>
      <w:r>
        <w:t xml:space="preserve">Management Review Output Measures Tracking Table,</w:t>
      </w:r>
      <w:r>
        <w:t xml:space="preserve">”</w:t>
      </w:r>
      <w:r>
        <w:t xml:space="preserve"> </w:t>
      </w:r>
      <w:r>
        <w:t xml:space="preserve">specifying the responsible department and completion deadline (generally 30 to 60 working days, with major improvement projects spanning years and setting milestones in stages).</w:t>
      </w:r>
    </w:p>
    <w:p>
      <w:pPr>
        <w:numPr>
          <w:ilvl w:val="0"/>
          <w:numId w:val="1025"/>
        </w:numPr>
        <w:pStyle w:val="Compact"/>
      </w:pPr>
      <w:r>
        <w:t xml:space="preserve">The responsible department implements the resolutions on schedule and submits completion evidence to the responsible department (revised documents, training records, purchase vouchers, data comparisons, etc.).</w:t>
      </w:r>
    </w:p>
    <w:p>
      <w:pPr>
        <w:numPr>
          <w:ilvl w:val="0"/>
          <w:numId w:val="1025"/>
        </w:numPr>
        <w:pStyle w:val="Compact"/>
      </w:pPr>
      <w:r>
        <w:t xml:space="preserve">The responsible department tracks and verifies the completed items, including whether the measures were implemented as planned, whether the results met expectations, and whether further measures are needed. The verification conclusions are recorded in the tracking table.</w:t>
      </w:r>
    </w:p>
    <w:p>
      <w:pPr>
        <w:numPr>
          <w:ilvl w:val="0"/>
          <w:numId w:val="1025"/>
        </w:numPr>
        <w:pStyle w:val="Compact"/>
      </w:pPr>
      <w:r>
        <w:t xml:space="preserve">If items are not completed on schedule, the responsible department should provide a written explanation of the reasons, which the responsible department reports to the management representative for coordination. If resource or cross-departmental coordination is involved, the General Manager should be consulted. The tracking table should be continuously updated until all resolutions are closed.</w:t>
      </w:r>
    </w:p>
    <w:p>
      <w:pPr>
        <w:numPr>
          <w:ilvl w:val="0"/>
          <w:numId w:val="1025"/>
        </w:numPr>
        <w:pStyle w:val="Compact"/>
      </w:pPr>
      <w:r>
        <w:t xml:space="preserve">If resolutions involve document changes, they should be processed according to the</w:t>
      </w:r>
      <w:r>
        <w:t xml:space="preserve"> </w:t>
      </w:r>
      <w:r>
        <w:t xml:space="preserve">“</w:t>
      </w:r>
      <w:r>
        <w:t xml:space="preserve">Document Control Procedure.</w:t>
      </w:r>
      <w:r>
        <w:t xml:space="preserve">”</w:t>
      </w:r>
      <w:r>
        <w:t xml:space="preserve"> </w:t>
      </w:r>
      <w:r>
        <w:t xml:space="preserve">If they involve corrective actions, they should be executed according to the</w:t>
      </w:r>
      <w:r>
        <w:t xml:space="preserve"> </w:t>
      </w:r>
      <w:r>
        <w:t xml:space="preserve">“</w:t>
      </w:r>
      <w:r>
        <w:t xml:space="preserve">Nonconforming and Corrective Action Procedure.</w:t>
      </w:r>
      <w:r>
        <w:t xml:space="preserve">”</w:t>
      </w:r>
      <w:r>
        <w:t xml:space="preserve"> </w:t>
      </w:r>
      <w:r>
        <w:t xml:space="preserve">If goals need to be adjusted, they should be included in the next year’s goal breakdown.</w:t>
      </w:r>
    </w:p>
    <w:p>
      <w:pPr>
        <w:pStyle w:val="Heading3"/>
      </w:pPr>
      <w:bookmarkStart w:id="30" w:name="text-version-of-the-flowchart"/>
      <w:r>
        <w:t xml:space="preserve">4.6 Text Version of the Flowchart</w:t>
      </w:r>
      <w:bookmarkEnd w:id="30"/>
    </w:p>
    <w:p>
      <w:pPr>
        <w:pStyle w:val="SourceCode"/>
      </w:pPr>
      <w:r>
        <w:rPr>
          <w:rStyle w:val="VerbatimChar"/>
        </w:rPr>
        <w:t xml:space="preserve">(1) Review Planning: Annual Plan + Input Outline → Approved by General Manager</w:t>
      </w:r>
      <w:r>
        <w:br/>
      </w:r>
      <w:r>
        <w:rPr>
          <w:rStyle w:val="VerbatimChar"/>
        </w:rPr>
        <w:t xml:space="preserve">      ↓</w:t>
      </w:r>
      <w:r>
        <w:br/>
      </w:r>
      <w:r>
        <w:rPr>
          <w:rStyle w:val="VerbatimChar"/>
        </w:rPr>
        <w:t xml:space="preserve">(2) Input Preparation: Departments submit input reports (nine inputs, data-driven) → Preliminary review by responsible department</w:t>
      </w:r>
      <w:r>
        <w:br/>
      </w:r>
      <w:r>
        <w:rPr>
          <w:rStyle w:val="VerbatimChar"/>
        </w:rPr>
        <w:t xml:space="preserve">      ↓</w:t>
      </w:r>
      <w:r>
        <w:br/>
      </w:r>
      <w:r>
        <w:rPr>
          <w:rStyle w:val="VerbatimChar"/>
        </w:rPr>
        <w:t xml:space="preserve">(3) Implementation of Review: General Manager chairs → Reports on previous resolutions → Item-by-item review of inputs → Evaluation of three aspects (suitability/adequacy/effectiveness)</w:t>
      </w:r>
      <w:r>
        <w:br/>
      </w:r>
      <w:r>
        <w:rPr>
          <w:rStyle w:val="VerbatimChar"/>
        </w:rPr>
        <w:t xml:space="preserve">      ↓</w:t>
      </w:r>
      <w:r>
        <w:br/>
      </w:r>
      <w:r>
        <w:rPr>
          <w:rStyle w:val="VerbatimChar"/>
        </w:rPr>
        <w:t xml:space="preserve">(4) Formation of Output: Resolutions on improvement opportunities / system changes / resource requirements → Approved by General Manager for the "Management Review Report"</w:t>
      </w:r>
      <w:r>
        <w:br/>
      </w:r>
      <w:r>
        <w:rPr>
          <w:rStyle w:val="VerbatimChar"/>
        </w:rPr>
        <w:t xml:space="preserve">      ↓</w:t>
      </w:r>
      <w:r>
        <w:br/>
      </w:r>
      <w:r>
        <w:rPr>
          <w:rStyle w:val="VerbatimChar"/>
        </w:rPr>
        <w:t xml:space="preserve">(5) Implementation and Tracking: Measures ledger → Responsible department implements → Responsible department verifies on schedule</w:t>
      </w:r>
      <w:r>
        <w:br/>
      </w:r>
      <w:r>
        <w:rPr>
          <w:rStyle w:val="VerbatimChar"/>
        </w:rPr>
        <w:t xml:space="preserve">      ↓</w:t>
      </w:r>
      <w:r>
        <w:br/>
      </w:r>
      <w:r>
        <w:rPr>
          <w:rStyle w:val="VerbatimChar"/>
        </w:rPr>
        <w:t xml:space="preserve">(6) Closure: Verification conclusions and completion rates → First input for the next management review</w:t>
      </w:r>
    </w:p>
    <w:p>
      <w:pPr>
        <w:pStyle w:val="Heading3"/>
      </w:pPr>
      <w:bookmarkStart w:id="31" w:name="form-references"/>
      <w:r>
        <w:t xml:space="preserve">4.7 Form References</w:t>
      </w:r>
      <w:bookmarkEnd w:id="31"/>
    </w:p>
    <w:p>
      <w:pPr>
        <w:pStyle w:val="FirstParagraph"/>
      </w:pPr>
      <w:r>
        <w:t xml:space="preserve">This procedure involves the following forms, the formats of which are detailed in the appendices of the</w:t>
      </w:r>
      <w:r>
        <w:t xml:space="preserve"> </w:t>
      </w:r>
      <w:r>
        <w:t xml:space="preserve">“</w:t>
      </w:r>
      <w:r>
        <w:t xml:space="preserve">Record Control Procedure</w:t>
      </w:r>
      <w:r>
        <w:t xml:space="preserve">”</w:t>
      </w:r>
      <w:r>
        <w:t xml:space="preserve"> </w:t>
      </w:r>
      <w:r>
        <w:t xml:space="preserve">and the fourth-level document form templates: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Form Name</w:t>
            </w:r>
          </w:p>
        </w:tc>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Retention Period</w:t>
            </w:r>
          </w:p>
        </w:tc>
      </w:tr>
      <w:tr>
        <w:tc>
          <w:p>
            <w:pPr>
              <w:pStyle w:val="Compact"/>
              <w:jc w:val="left"/>
            </w:pPr>
            <w:r>
              <w:t xml:space="preserve">Annual Management Review Plan</w:t>
            </w:r>
          </w:p>
        </w:tc>
        <w:tc>
          <w:p>
            <w:pPr>
              <w:pStyle w:val="Compact"/>
              <w:jc w:val="left"/>
            </w:pPr>
            <w:r>
              <w:t xml:space="preserve">QR-26-01</w:t>
            </w:r>
          </w:p>
        </w:tc>
        <w:tc>
          <w:p>
            <w:pPr>
              <w:pStyle w:val="Compact"/>
              <w:jc w:val="left"/>
            </w:pPr>
            <w:r>
              <w:t xml:space="preserve">Responsible Department</w:t>
            </w:r>
          </w:p>
        </w:tc>
        <w:tc>
          <w:p>
            <w:pPr>
              <w:pStyle w:val="Compact"/>
              <w:jc w:val="left"/>
            </w:pPr>
            <w:r>
              <w:t xml:space="preserve">3 years</w:t>
            </w:r>
          </w:p>
        </w:tc>
      </w:tr>
      <w:tr>
        <w:tc>
          <w:p>
            <w:pPr>
              <w:pStyle w:val="Compact"/>
              <w:jc w:val="left"/>
            </w:pPr>
            <w:r>
              <w:t xml:space="preserve">Management Review Input Outline and Input Reports</w:t>
            </w:r>
          </w:p>
        </w:tc>
        <w:tc>
          <w:p>
            <w:pPr>
              <w:pStyle w:val="Compact"/>
              <w:jc w:val="left"/>
            </w:pPr>
            <w:r>
              <w:t xml:space="preserve">QR-26-02</w:t>
            </w:r>
          </w:p>
        </w:tc>
        <w:tc>
          <w:p>
            <w:pPr>
              <w:pStyle w:val="Compact"/>
              <w:jc w:val="left"/>
            </w:pPr>
            <w:r>
              <w:t xml:space="preserve">Various Departments</w:t>
            </w:r>
          </w:p>
        </w:tc>
        <w:tc>
          <w:p>
            <w:pPr>
              <w:pStyle w:val="Compact"/>
              <w:jc w:val="left"/>
            </w:pPr>
            <w:r>
              <w:t xml:space="preserve">3 years</w:t>
            </w:r>
          </w:p>
        </w:tc>
      </w:tr>
      <w:tr>
        <w:tc>
          <w:p>
            <w:pPr>
              <w:pStyle w:val="Compact"/>
              <w:jc w:val="left"/>
            </w:pPr>
            <w:r>
              <w:t xml:space="preserve">Management Review Meeting Record</w:t>
            </w:r>
          </w:p>
        </w:tc>
        <w:tc>
          <w:p>
            <w:pPr>
              <w:pStyle w:val="Compact"/>
              <w:jc w:val="left"/>
            </w:pPr>
            <w:r>
              <w:t xml:space="preserve">QR-26-03</w:t>
            </w:r>
          </w:p>
        </w:tc>
        <w:tc>
          <w:p>
            <w:pPr>
              <w:pStyle w:val="Compact"/>
              <w:jc w:val="left"/>
            </w:pPr>
            <w:r>
              <w:t xml:space="preserve">Responsible Department</w:t>
            </w:r>
          </w:p>
        </w:tc>
        <w:tc>
          <w:p>
            <w:pPr>
              <w:pStyle w:val="Compact"/>
              <w:jc w:val="left"/>
            </w:pPr>
            <w:r>
              <w:t xml:space="preserve">3 years</w:t>
            </w:r>
          </w:p>
        </w:tc>
      </w:tr>
      <w:tr>
        <w:tc>
          <w:p>
            <w:pPr>
              <w:pStyle w:val="Compact"/>
              <w:jc w:val="left"/>
            </w:pPr>
            <w:r>
              <w:t xml:space="preserve">Management Review Report</w:t>
            </w:r>
          </w:p>
        </w:tc>
        <w:tc>
          <w:p>
            <w:pPr>
              <w:pStyle w:val="Compact"/>
              <w:jc w:val="left"/>
            </w:pPr>
            <w:r>
              <w:t xml:space="preserve">QR-26-04</w:t>
            </w:r>
          </w:p>
        </w:tc>
        <w:tc>
          <w:p>
            <w:pPr>
              <w:pStyle w:val="Compact"/>
              <w:jc w:val="left"/>
            </w:pPr>
            <w:r>
              <w:t xml:space="preserve">Responsible Department</w:t>
            </w:r>
          </w:p>
        </w:tc>
        <w:tc>
          <w:p>
            <w:pPr>
              <w:pStyle w:val="Compact"/>
              <w:jc w:val="left"/>
            </w:pPr>
            <w:r>
              <w:t xml:space="preserve">Long-term</w:t>
            </w:r>
          </w:p>
        </w:tc>
      </w:tr>
      <w:tr>
        <w:tc>
          <w:p>
            <w:pPr>
              <w:pStyle w:val="Compact"/>
              <w:jc w:val="left"/>
            </w:pPr>
            <w:r>
              <w:t xml:space="preserve">Management Review Output Measures Tracking Table</w:t>
            </w:r>
          </w:p>
        </w:tc>
        <w:tc>
          <w:p>
            <w:pPr>
              <w:pStyle w:val="Compact"/>
              <w:jc w:val="left"/>
            </w:pPr>
            <w:r>
              <w:t xml:space="preserve">QR-26-05</w:t>
            </w:r>
          </w:p>
        </w:tc>
        <w:tc>
          <w:p>
            <w:pPr>
              <w:pStyle w:val="Compact"/>
              <w:jc w:val="left"/>
            </w:pPr>
            <w:r>
              <w:t xml:space="preserve">Responsible Department</w:t>
            </w:r>
          </w:p>
        </w:tc>
        <w:tc>
          <w:p>
            <w:pPr>
              <w:pStyle w:val="Compact"/>
              <w:jc w:val="left"/>
            </w:pPr>
            <w:r>
              <w:t xml:space="preserve">3 years</w:t>
            </w:r>
          </w:p>
        </w:tc>
      </w:tr>
    </w:tbl>
    <w:p>
      <w:pPr>
        <w:pStyle w:val="Heading2"/>
      </w:pPr>
      <w:bookmarkStart w:id="32" w:name="related-records"/>
      <w:r>
        <w:t xml:space="preserve">5. Related Records</w:t>
      </w:r>
      <w:bookmarkEnd w:id="32"/>
    </w:p>
    <w:p>
      <w:pPr>
        <w:numPr>
          <w:ilvl w:val="0"/>
          <w:numId w:val="1026"/>
        </w:numPr>
        <w:pStyle w:val="Compact"/>
      </w:pPr>
      <w:r>
        <w:t xml:space="preserve">“</w:t>
      </w:r>
      <w:r>
        <w:t xml:space="preserve">Annual Management Review Plan</w:t>
      </w:r>
      <w:r>
        <w:t xml:space="preserve">”</w:t>
      </w:r>
      <w:r>
        <w:t xml:space="preserve">;</w:t>
      </w:r>
    </w:p>
    <w:p>
      <w:pPr>
        <w:numPr>
          <w:ilvl w:val="0"/>
          <w:numId w:val="1026"/>
        </w:numPr>
        <w:pStyle w:val="Compact"/>
      </w:pPr>
      <w:r>
        <w:t xml:space="preserve">“</w:t>
      </w:r>
      <w:r>
        <w:t xml:space="preserve">Management Review Input Reports</w:t>
      </w:r>
      <w:r>
        <w:t xml:space="preserve">”</w:t>
      </w:r>
      <w:r>
        <w:t xml:space="preserve"> </w:t>
      </w:r>
      <w:r>
        <w:t xml:space="preserve">from various departments (including satisfaction analysis, goal achievement statistics, audit reports, and risk measure evaluations);</w:t>
      </w:r>
    </w:p>
    <w:p>
      <w:pPr>
        <w:numPr>
          <w:ilvl w:val="0"/>
          <w:numId w:val="1026"/>
        </w:numPr>
        <w:pStyle w:val="Compact"/>
      </w:pPr>
      <w:r>
        <w:t xml:space="preserve">“</w:t>
      </w:r>
      <w:r>
        <w:t xml:space="preserve">Management Review Meeting Record</w:t>
      </w:r>
      <w:r>
        <w:t xml:space="preserve">”</w:t>
      </w:r>
      <w:r>
        <w:t xml:space="preserve"> </w:t>
      </w:r>
      <w:r>
        <w:t xml:space="preserve">and sign-in sheet;</w:t>
      </w:r>
    </w:p>
    <w:p>
      <w:pPr>
        <w:numPr>
          <w:ilvl w:val="0"/>
          <w:numId w:val="1026"/>
        </w:numPr>
        <w:pStyle w:val="Compact"/>
      </w:pPr>
      <w:r>
        <w:t xml:space="preserve">“</w:t>
      </w:r>
      <w:r>
        <w:t xml:space="preserve">Management Review Report</w:t>
      </w:r>
      <w:r>
        <w:t xml:space="preserve">”</w:t>
      </w:r>
      <w:r>
        <w:t xml:space="preserve">;</w:t>
      </w:r>
    </w:p>
    <w:p>
      <w:pPr>
        <w:numPr>
          <w:ilvl w:val="0"/>
          <w:numId w:val="1026"/>
        </w:numPr>
        <w:pStyle w:val="Compact"/>
      </w:pPr>
      <w:r>
        <w:t xml:space="preserve">“</w:t>
      </w:r>
      <w:r>
        <w:t xml:space="preserve">Management Review Output Measures Tracking Table.</w:t>
      </w:r>
      <w:r>
        <w:t xml:space="preserve">”</w:t>
      </w:r>
    </w:p>
    <w:p>
      <w:pPr>
        <w:pStyle w:val="FirstParagraph"/>
      </w:pPr>
      <w:r>
        <w:t xml:space="preserve">These records should be archived according to the</w:t>
      </w:r>
      <w:r>
        <w:t xml:space="preserve"> </w:t>
      </w:r>
      <w:r>
        <w:t xml:space="preserve">“</w:t>
      </w:r>
      <w:r>
        <w:t xml:space="preserve">Record Control Procedure,</w:t>
      </w:r>
      <w:r>
        <w:t xml:space="preserve">”</w:t>
      </w:r>
      <w:r>
        <w:t xml:space="preserve"> </w:t>
      </w:r>
      <w:r>
        <w:t xml:space="preserve">with retention periods as specified in Table 4.7. The</w:t>
      </w:r>
      <w:r>
        <w:t xml:space="preserve"> </w:t>
      </w:r>
      <w:r>
        <w:t xml:space="preserve">“</w:t>
      </w:r>
      <w:r>
        <w:t xml:space="preserve">Management Review Report</w:t>
      </w:r>
      <w:r>
        <w:t xml:space="preserve">”</w:t>
      </w:r>
      <w:r>
        <w:t xml:space="preserve"> </w:t>
      </w:r>
      <w:r>
        <w:t xml:space="preserve">is an important evidence of system operation and should be retained for at least 3 years or as required by regulations.</w:t>
      </w:r>
    </w:p>
    <w:p>
      <w:pPr>
        <w:pStyle w:val="Heading2"/>
      </w:pPr>
      <w:bookmarkStart w:id="33" w:name="related-documents"/>
      <w:r>
        <w:t xml:space="preserve">6. Related Documents</w:t>
      </w:r>
      <w:bookmarkEnd w:id="33"/>
    </w:p>
    <w:p>
      <w:pPr>
        <w:numPr>
          <w:ilvl w:val="0"/>
          <w:numId w:val="1027"/>
        </w:numPr>
        <w:pStyle w:val="Compact"/>
      </w:pPr>
      <w:r>
        <w:t xml:space="preserve">ISO 9001:2015</w:t>
      </w:r>
      <w:r>
        <w:t xml:space="preserve"> </w:t>
      </w:r>
      <w:r>
        <w:t xml:space="preserve">“</w:t>
      </w:r>
      <w:r>
        <w:t xml:space="preserve">Quality Management System—Requirements</w:t>
      </w:r>
      <w:r>
        <w:t xml:space="preserve">”</w:t>
      </w:r>
      <w:r>
        <w:t xml:space="preserve"> </w:t>
      </w:r>
      <w:r>
        <w:t xml:space="preserve">clause 9.3;</w:t>
      </w:r>
    </w:p>
    <w:p>
      <w:pPr>
        <w:numPr>
          <w:ilvl w:val="0"/>
          <w:numId w:val="1027"/>
        </w:numPr>
        <w:pStyle w:val="Compact"/>
      </w:pPr>
      <w:r>
        <w:t xml:space="preserve">“</w:t>
      </w:r>
      <w:r>
        <w:t xml:space="preserve">Record Control Procedure</w:t>
      </w:r>
      <w:r>
        <w:t xml:space="preserve">”</w:t>
      </w:r>
      <w:r>
        <w:t xml:space="preserve">;</w:t>
      </w:r>
    </w:p>
    <w:p>
      <w:pPr>
        <w:numPr>
          <w:ilvl w:val="0"/>
          <w:numId w:val="1027"/>
        </w:numPr>
        <w:pStyle w:val="Compact"/>
      </w:pPr>
      <w:r>
        <w:t xml:space="preserve">“</w:t>
      </w:r>
      <w:r>
        <w:t xml:space="preserve">Document Control Procedure</w:t>
      </w:r>
      <w:r>
        <w:t xml:space="preserve">”</w:t>
      </w:r>
      <w:r>
        <w:t xml:space="preserve">;</w:t>
      </w:r>
    </w:p>
    <w:p>
      <w:pPr>
        <w:numPr>
          <w:ilvl w:val="0"/>
          <w:numId w:val="1027"/>
        </w:numPr>
        <w:pStyle w:val="Compact"/>
      </w:pPr>
      <w:r>
        <w:t xml:space="preserve">“</w:t>
      </w:r>
      <w:r>
        <w:t xml:space="preserve">Internal Audit Procedure</w:t>
      </w:r>
      <w:r>
        <w:t xml:space="preserve">”</w:t>
      </w:r>
      <w:r>
        <w:t xml:space="preserve">;</w:t>
      </w:r>
    </w:p>
    <w:p>
      <w:pPr>
        <w:numPr>
          <w:ilvl w:val="0"/>
          <w:numId w:val="1027"/>
        </w:numPr>
        <w:pStyle w:val="Compact"/>
      </w:pPr>
      <w:r>
        <w:t xml:space="preserve">“</w:t>
      </w:r>
      <w:r>
        <w:t xml:space="preserve">Nonconforming and Corrective Action Procedure</w:t>
      </w:r>
      <w:r>
        <w:t xml:space="preserve">”</w:t>
      </w:r>
      <w:r>
        <w:t xml:space="preserve">;</w:t>
      </w:r>
    </w:p>
    <w:p>
      <w:pPr>
        <w:numPr>
          <w:ilvl w:val="0"/>
          <w:numId w:val="1027"/>
        </w:numPr>
        <w:pStyle w:val="Compact"/>
      </w:pPr>
      <w:r>
        <w:t xml:space="preserve">“</w:t>
      </w:r>
      <w:r>
        <w:t xml:space="preserve">Continuous Improvement Procedure</w:t>
      </w:r>
      <w:r>
        <w:t xml:space="preserve">”</w:t>
      </w:r>
      <w:r>
        <w:t xml:space="preserve">;</w:t>
      </w:r>
    </w:p>
    <w:p>
      <w:pPr>
        <w:numPr>
          <w:ilvl w:val="0"/>
          <w:numId w:val="1027"/>
        </w:numPr>
        <w:pStyle w:val="Compact"/>
      </w:pPr>
      <w:r>
        <w:t xml:space="preserve">“</w:t>
      </w:r>
      <w:r>
        <w:t xml:space="preserve">Data Analysis and Evaluation Procedure</w:t>
      </w:r>
      <w:r>
        <w:t xml:space="preserve">”</w:t>
      </w:r>
      <w:r>
        <w:t xml:space="preserve">;</w:t>
      </w:r>
    </w:p>
    <w:p>
      <w:pPr>
        <w:numPr>
          <w:ilvl w:val="0"/>
          <w:numId w:val="1027"/>
        </w:numPr>
        <w:pStyle w:val="Compact"/>
      </w:pPr>
      <w:r>
        <w:t xml:space="preserve">“</w:t>
      </w:r>
      <w:r>
        <w:t xml:space="preserve">Risk and Opportunity Management Procedure</w:t>
      </w:r>
      <w:r>
        <w:t xml:space="preserve">”</w:t>
      </w:r>
      <w:r>
        <w:t xml:space="preserve">;</w:t>
      </w:r>
    </w:p>
    <w:p>
      <w:pPr>
        <w:numPr>
          <w:ilvl w:val="0"/>
          <w:numId w:val="1027"/>
        </w:numPr>
        <w:pStyle w:val="Compact"/>
      </w:pPr>
      <w:r>
        <w:t xml:space="preserve">“</w:t>
      </w:r>
      <w:r>
        <w:t xml:space="preserve">Quality Policy and Quality Objectives Management Procedure.</w:t>
      </w:r>
      <w:r>
        <w:t xml:space="preserve">”</w:t>
      </w:r>
    </w:p>
    <w:p>
      <w:pPr>
        <w:pStyle w:val="Heading2"/>
      </w:pPr>
      <w:bookmarkStart w:id="34" w:name="usage-instructions"/>
      <w:r>
        <w:t xml:space="preserve">Usage Instructions</w:t>
      </w:r>
      <w:bookmarkEnd w:id="34"/>
    </w:p>
    <w:p>
      <w:pPr>
        <w:pStyle w:val="Heading3"/>
      </w:pPr>
      <w:bookmarkStart w:id="35" w:name="X765460c8b37eef4cdc3736557a6067f6e2e9718"/>
      <w:r>
        <w:t xml:space="preserve">1. How to Modify According to the Enterprise’s Actual Situation</w:t>
      </w:r>
      <w:bookmarkEnd w:id="35"/>
    </w:p>
    <w:p>
      <w:pPr>
        <w:numPr>
          <w:ilvl w:val="0"/>
          <w:numId w:val="1028"/>
        </w:numPr>
        <w:pStyle w:val="Compact"/>
      </w:pPr>
      <w:r>
        <w:rPr>
          <w:b/>
        </w:rPr>
        <w:t xml:space="preserve">Organizational Adaptation</w:t>
      </w:r>
      <w:r>
        <w:t xml:space="preserve">: In small enterprises, the General Manager can also serve as the management representative, and the responsibilities of the</w:t>
      </w:r>
      <w:r>
        <w:t xml:space="preserve"> </w:t>
      </w:r>
      <w:r>
        <w:t xml:space="preserve">“</w:t>
      </w:r>
      <w:r>
        <w:t xml:space="preserve">responsible department</w:t>
      </w:r>
      <w:r>
        <w:t xml:space="preserve">”</w:t>
      </w:r>
      <w:r>
        <w:t xml:space="preserve"> </w:t>
      </w:r>
      <w:r>
        <w:t xml:space="preserve">can be handled by one person from the Quality Department or the Comprehensive Department. Input reports can be completed through oral presentations by department heads plus a page of data tables, but the General Manager must personally chair the meeting and form written resolutions. In group enterprises, the overall review covering strategy and resources can be conducted at the group level after individual reviews in each subsidiary.</w:t>
      </w:r>
    </w:p>
    <w:p>
      <w:pPr>
        <w:numPr>
          <w:ilvl w:val="0"/>
          <w:numId w:val="1028"/>
        </w:numPr>
        <w:pStyle w:val="Compact"/>
      </w:pPr>
      <w:r>
        <w:rPr>
          <w:b/>
        </w:rPr>
        <w:t xml:space="preserve">Frequency Adaptation</w:t>
      </w:r>
      <w:r>
        <w:t xml:space="preserve">: Enterprises with mature systems and stable performance can maintain an annual review. New systems in the first two years of operation, standard revisions in the current year, or enterprises in a period of rapid business expansion should consider semi-annual reviews. Temporary reviews can be added at any time in case of significant changes, without waiting for the annual review.</w:t>
      </w:r>
    </w:p>
    <w:p>
      <w:pPr>
        <w:numPr>
          <w:ilvl w:val="0"/>
          <w:numId w:val="1028"/>
        </w:numPr>
        <w:pStyle w:val="Compact"/>
      </w:pPr>
      <w:r>
        <w:rPr>
          <w:b/>
        </w:rPr>
        <w:t xml:space="preserve">Meeting Format Adaptation</w:t>
      </w:r>
      <w:r>
        <w:t xml:space="preserve">: The management review can be combined with the annual business analysis meeting or strategic review meeting, but the agenda must include an independent section for</w:t>
      </w:r>
      <w:r>
        <w:t xml:space="preserve"> </w:t>
      </w:r>
      <w:r>
        <w:t xml:space="preserve">“</w:t>
      </w:r>
      <w:r>
        <w:t xml:space="preserve">evaluation of the three aspects of the system</w:t>
      </w:r>
      <w:r>
        <w:t xml:space="preserve">”</w:t>
      </w:r>
      <w:r>
        <w:t xml:space="preserve"> </w:t>
      </w:r>
      <w:r>
        <w:t xml:space="preserve">with corresponding records to avoid being judged by external auditors as substituting the business meeting for the management review. When there are many input materials, a</w:t>
      </w:r>
      <w:r>
        <w:t xml:space="preserve"> </w:t>
      </w:r>
      <w:r>
        <w:t xml:space="preserve">“</w:t>
      </w:r>
      <w:r>
        <w:t xml:space="preserve">pre-meeting written review + in-meeting focused discussion</w:t>
      </w:r>
      <w:r>
        <w:t xml:space="preserve">”</w:t>
      </w:r>
      <w:r>
        <w:t xml:space="preserve"> </w:t>
      </w:r>
      <w:r>
        <w:t xml:space="preserve">approach can be used to improve efficiency.</w:t>
      </w:r>
    </w:p>
    <w:p>
      <w:pPr>
        <w:numPr>
          <w:ilvl w:val="0"/>
          <w:numId w:val="1028"/>
        </w:numPr>
        <w:pStyle w:val="Compact"/>
      </w:pPr>
      <w:r>
        <w:rPr>
          <w:b/>
        </w:rPr>
        <w:t xml:space="preserve">Content Adaptation</w:t>
      </w:r>
      <w:r>
        <w:t xml:space="preserve">: Service industries should add inputs related to service delivery quality, customer experience, and complaint trends. Engineering projects can add inputs on subcontractor performance and compliance at construction sites. Industries subject to regulatory oversight (food, medical, chemical) should include compliance evaluation as a fixed input.</w:t>
      </w:r>
    </w:p>
    <w:p>
      <w:pPr>
        <w:pStyle w:val="Heading3"/>
      </w:pPr>
      <w:bookmarkStart w:id="36" w:name="audit-focus-points"/>
      <w:r>
        <w:t xml:space="preserve">2. Audit Focus Points</w:t>
      </w:r>
      <w:bookmarkEnd w:id="36"/>
    </w:p>
    <w:p>
      <w:pPr>
        <w:numPr>
          <w:ilvl w:val="0"/>
          <w:numId w:val="1029"/>
        </w:numPr>
        <w:pStyle w:val="Compact"/>
      </w:pPr>
      <w:r>
        <w:t xml:space="preserve">During certification audits, external auditors will focus on verifying: whether the review is personally chaired by the top management (check the chairperson’s signature in the meeting records and sign-in sheet); whether the inputs cover all elements of clause 9.3.2 and are supported by data; whether the outputs include the three types of decisions required by clause 9.3.3 (improvement, change, and resource); and whether the previous review’s resolutions have been verified and closed in the current review.</w:t>
      </w:r>
    </w:p>
    <w:p>
      <w:pPr>
        <w:numPr>
          <w:ilvl w:val="0"/>
          <w:numId w:val="1029"/>
        </w:numPr>
        <w:pStyle w:val="Compact"/>
      </w:pPr>
      <w:r>
        <w:t xml:space="preserve">Common follow-up questions:</w:t>
      </w:r>
      <w:r>
        <w:t xml:space="preserve"> </w:t>
      </w:r>
      <w:r>
        <w:t xml:space="preserve">“</w:t>
      </w:r>
      <w:r>
        <w:t xml:space="preserve">How many items from the last management review were completed? What were the reasons for non-completion?</w:t>
      </w:r>
      <w:r>
        <w:t xml:space="preserve">”</w:t>
      </w:r>
      <w:r>
        <w:t xml:space="preserve"> </w:t>
      </w:r>
      <w:r>
        <w:t xml:space="preserve">“</w:t>
      </w:r>
      <w:r>
        <w:t xml:space="preserve">Are the audit results in the review inputs consistent with the internal audit report?</w:t>
      </w:r>
      <w:r>
        <w:t xml:space="preserve">”</w:t>
      </w:r>
      <w:r>
        <w:t xml:space="preserve"> </w:t>
      </w:r>
      <w:r>
        <w:t xml:space="preserve">“</w:t>
      </w:r>
      <w:r>
        <w:t xml:space="preserve">How is the adequacy of resources evaluated?</w:t>
      </w:r>
      <w:r>
        <w:t xml:space="preserve">”</w:t>
      </w:r>
      <w:r>
        <w:t xml:space="preserve">—it is recommended to archive the</w:t>
      </w:r>
      <w:r>
        <w:t xml:space="preserve"> </w:t>
      </w:r>
      <w:r>
        <w:t xml:space="preserve">“</w:t>
      </w:r>
      <w:r>
        <w:t xml:space="preserve">Management Review Output Measures Tracking Table</w:t>
      </w:r>
      <w:r>
        <w:t xml:space="preserve">”</w:t>
      </w:r>
      <w:r>
        <w:t xml:space="preserve"> </w:t>
      </w:r>
      <w:r>
        <w:t xml:space="preserve">and the data chain of input reports (internal audit report, satisfaction report, goal statistics) in advance to ensure that any input can be traced back to the original records.</w:t>
      </w:r>
    </w:p>
    <w:p>
      <w:pPr>
        <w:numPr>
          <w:ilvl w:val="0"/>
          <w:numId w:val="1029"/>
        </w:numPr>
        <w:pStyle w:val="Compact"/>
      </w:pPr>
      <w:r>
        <w:t xml:space="preserve">Pay attention to the interlinking of clauses 9.3, 9.1.3, 9.2, 10.2, and 10.3: conclusions from data analysis and internal audit results are inputs for the management review, and improvement matters from the review resolutions should be traceable to the continuous improvement and corrective action procedures. This</w:t>
      </w:r>
      <w:r>
        <w:t xml:space="preserve"> </w:t>
      </w:r>
      <w:r>
        <w:t xml:space="preserve">“</w:t>
      </w:r>
      <w:r>
        <w:t xml:space="preserve">data → evaluation → decision → improvement</w:t>
      </w:r>
      <w:r>
        <w:t xml:space="preserve">”</w:t>
      </w:r>
      <w:r>
        <w:t xml:space="preserve"> </w:t>
      </w:r>
      <w:r>
        <w:t xml:space="preserve">evidence chain is a frequent verification point in recent audits.</w:t>
      </w:r>
    </w:p>
    <w:p>
      <w:pPr>
        <w:pStyle w:val="Heading3"/>
      </w:pPr>
      <w:bookmarkStart w:id="37" w:name="common-errors"/>
      <w:r>
        <w:t xml:space="preserve">3. Common Errors</w:t>
      </w:r>
      <w:bookmarkEnd w:id="37"/>
    </w:p>
    <w:p>
      <w:pPr>
        <w:numPr>
          <w:ilvl w:val="0"/>
          <w:numId w:val="1030"/>
        </w:numPr>
        <w:pStyle w:val="Compact"/>
      </w:pPr>
      <w:r>
        <w:rPr>
          <w:b/>
        </w:rPr>
        <w:t xml:space="preserve">Conducting a Production Meeting</w:t>
      </w:r>
      <w:r>
        <w:t xml:space="preserve">: The entire meeting only discusses orders, deliveries, and customer催货, without a systematic evaluation of the system’s suitability, adequacy, and effectiveness. The report is written as a work summary—management reviews evaluate the</w:t>
      </w:r>
      <w:r>
        <w:t xml:space="preserve"> </w:t>
      </w:r>
      <w:r>
        <w:t xml:space="preserve">“</w:t>
      </w:r>
      <w:r>
        <w:t xml:space="preserve">system,</w:t>
      </w:r>
      <w:r>
        <w:t xml:space="preserve">”</w:t>
      </w:r>
      <w:r>
        <w:t xml:space="preserve"> </w:t>
      </w:r>
      <w:r>
        <w:t xml:space="preserve">not</w:t>
      </w:r>
      <w:r>
        <w:t xml:space="preserve"> </w:t>
      </w:r>
      <w:r>
        <w:t xml:space="preserve">“</w:t>
      </w:r>
      <w:r>
        <w:t xml:space="preserve">business progress.</w:t>
      </w:r>
      <w:r>
        <w:t xml:space="preserve">”</w:t>
      </w:r>
    </w:p>
    <w:p>
      <w:pPr>
        <w:numPr>
          <w:ilvl w:val="0"/>
          <w:numId w:val="1030"/>
        </w:numPr>
        <w:pStyle w:val="Compact"/>
      </w:pPr>
      <w:r>
        <w:rPr>
          <w:b/>
        </w:rPr>
        <w:t xml:space="preserve">Top Management Absence</w:t>
      </w:r>
      <w:r>
        <w:t xml:space="preserve">: The meeting is chaired by the management representative or the quality manager, and the meeting records show the chairperson is not the General Manager, leading to nonconformities. If a time adjustment is necessary, the plan should be changed, not the chairperson.</w:t>
      </w:r>
    </w:p>
    <w:p>
      <w:pPr>
        <w:numPr>
          <w:ilvl w:val="0"/>
          <w:numId w:val="1030"/>
        </w:numPr>
        <w:pStyle w:val="Compact"/>
      </w:pPr>
      <w:r>
        <w:rPr>
          <w:b/>
        </w:rPr>
        <w:t xml:space="preserve">Missing Inputs and Outputs</w:t>
      </w:r>
      <w:r>
        <w:t xml:space="preserve">: Inputs such as</w:t>
      </w:r>
      <w:r>
        <w:t xml:space="preserve"> </w:t>
      </w:r>
      <w:r>
        <w:t xml:space="preserve">“</w:t>
      </w:r>
      <w:r>
        <w:t xml:space="preserve">external supplier performance,</w:t>
      </w:r>
      <w:r>
        <w:t xml:space="preserve">”</w:t>
      </w:r>
      <w:r>
        <w:t xml:space="preserve"> </w:t>
      </w:r>
      <w:r>
        <w:t xml:space="preserve">“</w:t>
      </w:r>
      <w:r>
        <w:t xml:space="preserve">effectiveness of risk measures,</w:t>
      </w:r>
      <w:r>
        <w:t xml:space="preserve">”</w:t>
      </w:r>
      <w:r>
        <w:t xml:space="preserve"> </w:t>
      </w:r>
      <w:r>
        <w:t xml:space="preserve">and</w:t>
      </w:r>
      <w:r>
        <w:t xml:space="preserve"> </w:t>
      </w:r>
      <w:r>
        <w:t xml:space="preserve">“</w:t>
      </w:r>
      <w:r>
        <w:t xml:space="preserve">adequacy of resources</w:t>
      </w:r>
      <w:r>
        <w:t xml:space="preserve">”</w:t>
      </w:r>
      <w:r>
        <w:t xml:space="preserve"> </w:t>
      </w:r>
      <w:r>
        <w:t xml:space="preserve">are omitted, and outputs such as</w:t>
      </w:r>
      <w:r>
        <w:t xml:space="preserve"> </w:t>
      </w:r>
      <w:r>
        <w:t xml:space="preserve">“</w:t>
      </w:r>
      <w:r>
        <w:t xml:space="preserve">change requirements</w:t>
      </w:r>
      <w:r>
        <w:t xml:space="preserve">”</w:t>
      </w:r>
      <w:r>
        <w:t xml:space="preserve"> </w:t>
      </w:r>
      <w:r>
        <w:t xml:space="preserve">or</w:t>
      </w:r>
      <w:r>
        <w:t xml:space="preserve"> </w:t>
      </w:r>
      <w:r>
        <w:t xml:space="preserve">“</w:t>
      </w:r>
      <w:r>
        <w:t xml:space="preserve">resource requirements</w:t>
      </w:r>
      <w:r>
        <w:t xml:space="preserve">”</w:t>
      </w:r>
      <w:r>
        <w:t xml:space="preserve"> </w:t>
      </w:r>
      <w:r>
        <w:t xml:space="preserve">are missing. These can be self-checked by comparing with clauses 9.3.2 and 9.3.3 of the standard.</w:t>
      </w:r>
    </w:p>
    <w:p>
      <w:pPr>
        <w:numPr>
          <w:ilvl w:val="0"/>
          <w:numId w:val="1030"/>
        </w:numPr>
        <w:pStyle w:val="Compact"/>
      </w:pPr>
      <w:r>
        <w:rPr>
          <w:b/>
        </w:rPr>
        <w:t xml:space="preserve">Non-closure of Resolutions</w:t>
      </w:r>
      <w:r>
        <w:t xml:space="preserve">: The report lists several resolutions but lacks responsible departments, completion deadlines, and tracking verification records. The next review does not mention these items—adhere to</w:t>
      </w:r>
      <w:r>
        <w:t xml:space="preserve"> </w:t>
      </w:r>
      <w:r>
        <w:t xml:space="preserve">“</w:t>
      </w:r>
      <w:r>
        <w:t xml:space="preserve">one matter, one responsible person, one deadline</w:t>
      </w:r>
      <w:r>
        <w:t xml:space="preserve">”</w:t>
      </w:r>
      <w:r>
        <w:t xml:space="preserve"> </w:t>
      </w:r>
      <w:r>
        <w:t xml:space="preserve">and use the tracking table to close each item.</w:t>
      </w:r>
    </w:p>
    <w:p>
      <w:pPr>
        <w:numPr>
          <w:ilvl w:val="0"/>
          <w:numId w:val="1030"/>
        </w:numPr>
        <w:pStyle w:val="Compact"/>
      </w:pPr>
      <w:r>
        <w:rPr>
          <w:b/>
        </w:rPr>
        <w:t xml:space="preserve">Falsification of Materials</w:t>
      </w:r>
      <w:r>
        <w:t xml:space="preserve">: The review meeting is held first, and the report and meeting records are completed afterward, sometimes even on the day of the meeting, leading to logical contradictions in the record times that are identified by external auditors. Strictly follow the sequence:</w:t>
      </w:r>
      <w:r>
        <w:t xml:space="preserve"> </w:t>
      </w:r>
      <w:r>
        <w:t xml:space="preserve">“</w:t>
      </w:r>
      <w:r>
        <w:t xml:space="preserve">submit inputs first, hold the meeting afterward, and issue the report on schedule.</w:t>
      </w:r>
      <w:r>
        <w:t xml:space="preserve">”</w:t>
      </w:r>
    </w:p>
    <w:p>
      <w:pPr>
        <w:numPr>
          <w:ilvl w:val="0"/>
          <w:numId w:val="1030"/>
        </w:numPr>
        <w:pStyle w:val="Compact"/>
      </w:pPr>
      <w:r>
        <w:rPr>
          <w:b/>
        </w:rPr>
        <w:t xml:space="preserve">Confusion with Internal Audits</w:t>
      </w:r>
      <w:r>
        <w:t xml:space="preserve">: Using the list of nonconformities from internal audits as the management review report or substituting internal audits for management reviews—internal audits check</w:t>
      </w:r>
      <w:r>
        <w:t xml:space="preserve"> </w:t>
      </w:r>
      <w:r>
        <w:t xml:space="preserve">“</w:t>
      </w:r>
      <w:r>
        <w:t xml:space="preserve">conformity,</w:t>
      </w:r>
      <w:r>
        <w:t xml:space="preserve">”</w:t>
      </w:r>
      <w:r>
        <w:t xml:space="preserve"> </w:t>
      </w:r>
      <w:r>
        <w:t xml:space="preserve">while management reviews evaluate</w:t>
      </w:r>
      <w:r>
        <w:t xml:space="preserve"> </w:t>
      </w:r>
      <w:r>
        <w:t xml:space="preserve">“</w:t>
      </w:r>
      <w:r>
        <w:t xml:space="preserve">the three aspects and make decisions.</w:t>
      </w:r>
      <w:r>
        <w:t xml:space="preserve">”</w:t>
      </w:r>
      <w:r>
        <w:t xml:space="preserve"> </w:t>
      </w:r>
      <w:r>
        <w:t xml:space="preserve">The two are interdependent and cannot replace each other.</w:t>
      </w:r>
    </w:p>
    <w:p>
      <w:r>
        <w:pict>
          <v:rect style="width:0;height:1.5pt" o:hralign="center" o:hrstd="t" o:hr="t"/>
        </w:pict>
      </w:r>
    </w:p>
    <w:p>
      <w:pPr>
        <w:pStyle w:val="BlockText"/>
      </w:pPr>
      <w:r>
        <w:t xml:space="preserve">Proper management review ensures the system stays on track.</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721">
    <w:nsid w:val="47261bad"/>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722">
    <w:nsid w:val="b3cbbdee"/>
    <w:multiLevelType w:val="multilevel"/>
    <w:lvl w:ilvl="0">
      <w:start w:val="2"/>
      <w:numFmt w:val="lowerLetter"/>
      <w:lvlText w:val="%1)"/>
      <w:lvlJc w:val="left"/>
      <w:pPr>
        <w:tabs>
          <w:tab w:val="num" w:pos="0"/>
        </w:tabs>
        <w:ind w:left="480" w:hanging="480"/>
      </w:pPr>
    </w:lvl>
    <w:lvl w:ilvl="1">
      <w:start w:val="2"/>
      <w:numFmt w:val="lowerLetter"/>
      <w:lvlText w:val="%2)"/>
      <w:lvlJc w:val="left"/>
      <w:pPr>
        <w:tabs>
          <w:tab w:val="num" w:pos="720"/>
        </w:tabs>
        <w:ind w:left="1200" w:hanging="480"/>
      </w:pPr>
    </w:lvl>
    <w:lvl w:ilvl="2">
      <w:start w:val="2"/>
      <w:numFmt w:val="lowerLetter"/>
      <w:lvlText w:val="%3)"/>
      <w:lvlJc w:val="left"/>
      <w:pPr>
        <w:tabs>
          <w:tab w:val="num" w:pos="1440"/>
        </w:tabs>
        <w:ind w:left="1920" w:hanging="480"/>
      </w:pPr>
    </w:lvl>
    <w:lvl w:ilvl="3">
      <w:start w:val="2"/>
      <w:numFmt w:val="lowerLetter"/>
      <w:lvlText w:val="%4)"/>
      <w:lvlJc w:val="left"/>
      <w:pPr>
        <w:tabs>
          <w:tab w:val="num" w:pos="2160"/>
        </w:tabs>
        <w:ind w:left="2640" w:hanging="480"/>
      </w:pPr>
    </w:lvl>
    <w:lvl w:ilvl="4">
      <w:start w:val="2"/>
      <w:numFmt w:val="lowerLetter"/>
      <w:lvlText w:val="%5)"/>
      <w:lvlJc w:val="left"/>
      <w:pPr>
        <w:tabs>
          <w:tab w:val="num" w:pos="2880"/>
        </w:tabs>
        <w:ind w:left="3360" w:hanging="480"/>
      </w:pPr>
    </w:lvl>
    <w:lvl w:ilvl="5">
      <w:start w:val="2"/>
      <w:numFmt w:val="lowerLetter"/>
      <w:lvlText w:val="%6)"/>
      <w:lvlJc w:val="left"/>
      <w:pPr>
        <w:tabs>
          <w:tab w:val="num" w:pos="3600"/>
        </w:tabs>
        <w:ind w:left="4080" w:hanging="480"/>
      </w:pPr>
    </w:lvl>
    <w:lvl w:ilvl="6">
      <w:start w:val="2"/>
      <w:numFmt w:val="lowerLetter"/>
      <w:lvlText w:val="%7)"/>
      <w:lvlJc w:val="left"/>
      <w:pPr>
        <w:tabs>
          <w:tab w:val="num" w:pos="4320"/>
        </w:tabs>
        <w:ind w:left="4800" w:hanging="480"/>
      </w:pPr>
    </w:lvl>
    <w:lvl w:ilvl="7">
      <w:start w:val="2"/>
      <w:numFmt w:val="lowerLetter"/>
      <w:lvlText w:val="%8)"/>
      <w:lvlJc w:val="left"/>
      <w:pPr>
        <w:tabs>
          <w:tab w:val="num" w:pos="5040"/>
        </w:tabs>
        <w:ind w:left="5520" w:hanging="480"/>
      </w:pPr>
    </w:lvl>
    <w:lvl w:ilvl="8">
      <w:start w:val="2"/>
      <w:numFmt w:val="lowerLetter"/>
      <w:lvlText w:val="%9)"/>
      <w:lvlJc w:val="left"/>
      <w:pPr>
        <w:tabs>
          <w:tab w:val="num" w:pos="5760"/>
        </w:tabs>
        <w:ind w:left="6240" w:hanging="480"/>
      </w:pPr>
    </w:lvl>
  </w:abstractNum>
  <w:abstractNum w:abstractNumId="99723">
    <w:nsid w:val="4fbe019a"/>
    <w:multiLevelType w:val="multilevel"/>
    <w:lvl w:ilvl="0">
      <w:start w:val="3"/>
      <w:numFmt w:val="lowerLetter"/>
      <w:lvlText w:val="%1)"/>
      <w:lvlJc w:val="left"/>
      <w:pPr>
        <w:tabs>
          <w:tab w:val="num" w:pos="0"/>
        </w:tabs>
        <w:ind w:left="480" w:hanging="480"/>
      </w:pPr>
    </w:lvl>
    <w:lvl w:ilvl="1">
      <w:start w:val="3"/>
      <w:numFmt w:val="lowerLetter"/>
      <w:lvlText w:val="%2)"/>
      <w:lvlJc w:val="left"/>
      <w:pPr>
        <w:tabs>
          <w:tab w:val="num" w:pos="720"/>
        </w:tabs>
        <w:ind w:left="1200" w:hanging="480"/>
      </w:pPr>
    </w:lvl>
    <w:lvl w:ilvl="2">
      <w:start w:val="3"/>
      <w:numFmt w:val="lowerLetter"/>
      <w:lvlText w:val="%3)"/>
      <w:lvlJc w:val="left"/>
      <w:pPr>
        <w:tabs>
          <w:tab w:val="num" w:pos="1440"/>
        </w:tabs>
        <w:ind w:left="1920" w:hanging="480"/>
      </w:pPr>
    </w:lvl>
    <w:lvl w:ilvl="3">
      <w:start w:val="3"/>
      <w:numFmt w:val="lowerLetter"/>
      <w:lvlText w:val="%4)"/>
      <w:lvlJc w:val="left"/>
      <w:pPr>
        <w:tabs>
          <w:tab w:val="num" w:pos="2160"/>
        </w:tabs>
        <w:ind w:left="2640" w:hanging="480"/>
      </w:pPr>
    </w:lvl>
    <w:lvl w:ilvl="4">
      <w:start w:val="3"/>
      <w:numFmt w:val="lowerLetter"/>
      <w:lvlText w:val="%5)"/>
      <w:lvlJc w:val="left"/>
      <w:pPr>
        <w:tabs>
          <w:tab w:val="num" w:pos="2880"/>
        </w:tabs>
        <w:ind w:left="3360" w:hanging="480"/>
      </w:pPr>
    </w:lvl>
    <w:lvl w:ilvl="5">
      <w:start w:val="3"/>
      <w:numFmt w:val="lowerLetter"/>
      <w:lvlText w:val="%6)"/>
      <w:lvlJc w:val="left"/>
      <w:pPr>
        <w:tabs>
          <w:tab w:val="num" w:pos="3600"/>
        </w:tabs>
        <w:ind w:left="4080" w:hanging="480"/>
      </w:pPr>
    </w:lvl>
    <w:lvl w:ilvl="6">
      <w:start w:val="3"/>
      <w:numFmt w:val="lowerLetter"/>
      <w:lvlText w:val="%7)"/>
      <w:lvlJc w:val="left"/>
      <w:pPr>
        <w:tabs>
          <w:tab w:val="num" w:pos="4320"/>
        </w:tabs>
        <w:ind w:left="4800" w:hanging="480"/>
      </w:pPr>
    </w:lvl>
    <w:lvl w:ilvl="7">
      <w:start w:val="3"/>
      <w:numFmt w:val="lowerLetter"/>
      <w:lvlText w:val="%8)"/>
      <w:lvlJc w:val="left"/>
      <w:pPr>
        <w:tabs>
          <w:tab w:val="num" w:pos="5040"/>
        </w:tabs>
        <w:ind w:left="5520" w:hanging="480"/>
      </w:pPr>
    </w:lvl>
    <w:lvl w:ilvl="8">
      <w:start w:val="3"/>
      <w:numFmt w:val="lowerLetter"/>
      <w:lvlText w:val="%9)"/>
      <w:lvlJc w:val="left"/>
      <w:pPr>
        <w:tabs>
          <w:tab w:val="num" w:pos="5760"/>
        </w:tabs>
        <w:ind w:left="6240" w:hanging="480"/>
      </w:pPr>
    </w:lvl>
  </w:abstractNum>
  <w:abstractNum w:abstractNumId="99724">
    <w:nsid w:val="91a27d85"/>
    <w:multiLevelType w:val="multilevel"/>
    <w:lvl w:ilvl="0">
      <w:start w:val="4"/>
      <w:numFmt w:val="lowerLetter"/>
      <w:lvlText w:val="%1)"/>
      <w:lvlJc w:val="left"/>
      <w:pPr>
        <w:tabs>
          <w:tab w:val="num" w:pos="0"/>
        </w:tabs>
        <w:ind w:left="480" w:hanging="480"/>
      </w:pPr>
    </w:lvl>
    <w:lvl w:ilvl="1">
      <w:start w:val="4"/>
      <w:numFmt w:val="lowerLetter"/>
      <w:lvlText w:val="%2)"/>
      <w:lvlJc w:val="left"/>
      <w:pPr>
        <w:tabs>
          <w:tab w:val="num" w:pos="720"/>
        </w:tabs>
        <w:ind w:left="1200" w:hanging="480"/>
      </w:pPr>
    </w:lvl>
    <w:lvl w:ilvl="2">
      <w:start w:val="4"/>
      <w:numFmt w:val="lowerLetter"/>
      <w:lvlText w:val="%3)"/>
      <w:lvlJc w:val="left"/>
      <w:pPr>
        <w:tabs>
          <w:tab w:val="num" w:pos="1440"/>
        </w:tabs>
        <w:ind w:left="1920" w:hanging="480"/>
      </w:pPr>
    </w:lvl>
    <w:lvl w:ilvl="3">
      <w:start w:val="4"/>
      <w:numFmt w:val="lowerLetter"/>
      <w:lvlText w:val="%4)"/>
      <w:lvlJc w:val="left"/>
      <w:pPr>
        <w:tabs>
          <w:tab w:val="num" w:pos="2160"/>
        </w:tabs>
        <w:ind w:left="2640" w:hanging="480"/>
      </w:pPr>
    </w:lvl>
    <w:lvl w:ilvl="4">
      <w:start w:val="4"/>
      <w:numFmt w:val="lowerLetter"/>
      <w:lvlText w:val="%5)"/>
      <w:lvlJc w:val="left"/>
      <w:pPr>
        <w:tabs>
          <w:tab w:val="num" w:pos="2880"/>
        </w:tabs>
        <w:ind w:left="3360" w:hanging="480"/>
      </w:pPr>
    </w:lvl>
    <w:lvl w:ilvl="5">
      <w:start w:val="4"/>
      <w:numFmt w:val="lowerLetter"/>
      <w:lvlText w:val="%6)"/>
      <w:lvlJc w:val="left"/>
      <w:pPr>
        <w:tabs>
          <w:tab w:val="num" w:pos="3600"/>
        </w:tabs>
        <w:ind w:left="4080" w:hanging="480"/>
      </w:pPr>
    </w:lvl>
    <w:lvl w:ilvl="6">
      <w:start w:val="4"/>
      <w:numFmt w:val="lowerLetter"/>
      <w:lvlText w:val="%7)"/>
      <w:lvlJc w:val="left"/>
      <w:pPr>
        <w:tabs>
          <w:tab w:val="num" w:pos="4320"/>
        </w:tabs>
        <w:ind w:left="4800" w:hanging="480"/>
      </w:pPr>
    </w:lvl>
    <w:lvl w:ilvl="7">
      <w:start w:val="4"/>
      <w:numFmt w:val="lowerLetter"/>
      <w:lvlText w:val="%8)"/>
      <w:lvlJc w:val="left"/>
      <w:pPr>
        <w:tabs>
          <w:tab w:val="num" w:pos="5040"/>
        </w:tabs>
        <w:ind w:left="5520" w:hanging="480"/>
      </w:pPr>
    </w:lvl>
    <w:lvl w:ilvl="8">
      <w:start w:val="4"/>
      <w:numFmt w:val="lowerLetter"/>
      <w:lvlText w:val="%9)"/>
      <w:lvlJc w:val="left"/>
      <w:pPr>
        <w:tabs>
          <w:tab w:val="num" w:pos="5760"/>
        </w:tabs>
        <w:ind w:left="6240" w:hanging="480"/>
      </w:pPr>
    </w:lvl>
  </w:abstractNum>
  <w:abstractNum w:abstractNumId="99725">
    <w:nsid w:val="615f1ed2"/>
    <w:multiLevelType w:val="multilevel"/>
    <w:lvl w:ilvl="0">
      <w:start w:val="5"/>
      <w:numFmt w:val="lowerLetter"/>
      <w:lvlText w:val="%1)"/>
      <w:lvlJc w:val="left"/>
      <w:pPr>
        <w:tabs>
          <w:tab w:val="num" w:pos="0"/>
        </w:tabs>
        <w:ind w:left="480" w:hanging="480"/>
      </w:pPr>
    </w:lvl>
    <w:lvl w:ilvl="1">
      <w:start w:val="5"/>
      <w:numFmt w:val="lowerLetter"/>
      <w:lvlText w:val="%2)"/>
      <w:lvlJc w:val="left"/>
      <w:pPr>
        <w:tabs>
          <w:tab w:val="num" w:pos="720"/>
        </w:tabs>
        <w:ind w:left="1200" w:hanging="480"/>
      </w:pPr>
    </w:lvl>
    <w:lvl w:ilvl="2">
      <w:start w:val="5"/>
      <w:numFmt w:val="lowerLetter"/>
      <w:lvlText w:val="%3)"/>
      <w:lvlJc w:val="left"/>
      <w:pPr>
        <w:tabs>
          <w:tab w:val="num" w:pos="1440"/>
        </w:tabs>
        <w:ind w:left="1920" w:hanging="480"/>
      </w:pPr>
    </w:lvl>
    <w:lvl w:ilvl="3">
      <w:start w:val="5"/>
      <w:numFmt w:val="lowerLetter"/>
      <w:lvlText w:val="%4)"/>
      <w:lvlJc w:val="left"/>
      <w:pPr>
        <w:tabs>
          <w:tab w:val="num" w:pos="2160"/>
        </w:tabs>
        <w:ind w:left="2640" w:hanging="480"/>
      </w:pPr>
    </w:lvl>
    <w:lvl w:ilvl="4">
      <w:start w:val="5"/>
      <w:numFmt w:val="lowerLetter"/>
      <w:lvlText w:val="%5)"/>
      <w:lvlJc w:val="left"/>
      <w:pPr>
        <w:tabs>
          <w:tab w:val="num" w:pos="2880"/>
        </w:tabs>
        <w:ind w:left="3360" w:hanging="480"/>
      </w:pPr>
    </w:lvl>
    <w:lvl w:ilvl="5">
      <w:start w:val="5"/>
      <w:numFmt w:val="lowerLetter"/>
      <w:lvlText w:val="%6)"/>
      <w:lvlJc w:val="left"/>
      <w:pPr>
        <w:tabs>
          <w:tab w:val="num" w:pos="3600"/>
        </w:tabs>
        <w:ind w:left="4080" w:hanging="480"/>
      </w:pPr>
    </w:lvl>
    <w:lvl w:ilvl="6">
      <w:start w:val="5"/>
      <w:numFmt w:val="lowerLetter"/>
      <w:lvlText w:val="%7)"/>
      <w:lvlJc w:val="left"/>
      <w:pPr>
        <w:tabs>
          <w:tab w:val="num" w:pos="4320"/>
        </w:tabs>
        <w:ind w:left="4800" w:hanging="480"/>
      </w:pPr>
    </w:lvl>
    <w:lvl w:ilvl="7">
      <w:start w:val="5"/>
      <w:numFmt w:val="lowerLetter"/>
      <w:lvlText w:val="%8)"/>
      <w:lvlJc w:val="left"/>
      <w:pPr>
        <w:tabs>
          <w:tab w:val="num" w:pos="5040"/>
        </w:tabs>
        <w:ind w:left="5520" w:hanging="480"/>
      </w:pPr>
    </w:lvl>
    <w:lvl w:ilvl="8">
      <w:start w:val="5"/>
      <w:numFmt w:val="lowerLetter"/>
      <w:lvlText w:val="%9)"/>
      <w:lvlJc w:val="left"/>
      <w:pPr>
        <w:tabs>
          <w:tab w:val="num" w:pos="5760"/>
        </w:tabs>
        <w:ind w:left="6240" w:hanging="480"/>
      </w:pPr>
    </w:lvl>
  </w:abstractNum>
  <w:abstractNum w:abstractNumId="99726">
    <w:nsid w:val="238d8174"/>
    <w:multiLevelType w:val="multilevel"/>
    <w:lvl w:ilvl="0">
      <w:start w:val="6"/>
      <w:numFmt w:val="lowerLetter"/>
      <w:lvlText w:val="%1)"/>
      <w:lvlJc w:val="left"/>
      <w:pPr>
        <w:tabs>
          <w:tab w:val="num" w:pos="0"/>
        </w:tabs>
        <w:ind w:left="480" w:hanging="480"/>
      </w:pPr>
    </w:lvl>
    <w:lvl w:ilvl="1">
      <w:start w:val="6"/>
      <w:numFmt w:val="lowerLetter"/>
      <w:lvlText w:val="%2)"/>
      <w:lvlJc w:val="left"/>
      <w:pPr>
        <w:tabs>
          <w:tab w:val="num" w:pos="720"/>
        </w:tabs>
        <w:ind w:left="1200" w:hanging="480"/>
      </w:pPr>
    </w:lvl>
    <w:lvl w:ilvl="2">
      <w:start w:val="6"/>
      <w:numFmt w:val="lowerLetter"/>
      <w:lvlText w:val="%3)"/>
      <w:lvlJc w:val="left"/>
      <w:pPr>
        <w:tabs>
          <w:tab w:val="num" w:pos="1440"/>
        </w:tabs>
        <w:ind w:left="1920" w:hanging="480"/>
      </w:pPr>
    </w:lvl>
    <w:lvl w:ilvl="3">
      <w:start w:val="6"/>
      <w:numFmt w:val="lowerLetter"/>
      <w:lvlText w:val="%4)"/>
      <w:lvlJc w:val="left"/>
      <w:pPr>
        <w:tabs>
          <w:tab w:val="num" w:pos="2160"/>
        </w:tabs>
        <w:ind w:left="2640" w:hanging="480"/>
      </w:pPr>
    </w:lvl>
    <w:lvl w:ilvl="4">
      <w:start w:val="6"/>
      <w:numFmt w:val="lowerLetter"/>
      <w:lvlText w:val="%5)"/>
      <w:lvlJc w:val="left"/>
      <w:pPr>
        <w:tabs>
          <w:tab w:val="num" w:pos="2880"/>
        </w:tabs>
        <w:ind w:left="3360" w:hanging="480"/>
      </w:pPr>
    </w:lvl>
    <w:lvl w:ilvl="5">
      <w:start w:val="6"/>
      <w:numFmt w:val="lowerLetter"/>
      <w:lvlText w:val="%6)"/>
      <w:lvlJc w:val="left"/>
      <w:pPr>
        <w:tabs>
          <w:tab w:val="num" w:pos="3600"/>
        </w:tabs>
        <w:ind w:left="4080" w:hanging="480"/>
      </w:pPr>
    </w:lvl>
    <w:lvl w:ilvl="6">
      <w:start w:val="6"/>
      <w:numFmt w:val="lowerLetter"/>
      <w:lvlText w:val="%7)"/>
      <w:lvlJc w:val="left"/>
      <w:pPr>
        <w:tabs>
          <w:tab w:val="num" w:pos="4320"/>
        </w:tabs>
        <w:ind w:left="4800" w:hanging="480"/>
      </w:pPr>
    </w:lvl>
    <w:lvl w:ilvl="7">
      <w:start w:val="6"/>
      <w:numFmt w:val="lowerLetter"/>
      <w:lvlText w:val="%8)"/>
      <w:lvlJc w:val="left"/>
      <w:pPr>
        <w:tabs>
          <w:tab w:val="num" w:pos="5040"/>
        </w:tabs>
        <w:ind w:left="5520" w:hanging="480"/>
      </w:pPr>
    </w:lvl>
    <w:lvl w:ilvl="8">
      <w:start w:val="6"/>
      <w:numFmt w:val="lowerLetter"/>
      <w:lvlText w:val="%9)"/>
      <w:lvlJc w:val="left"/>
      <w:pPr>
        <w:tabs>
          <w:tab w:val="num" w:pos="5760"/>
        </w:tabs>
        <w:ind w:left="6240" w:hanging="480"/>
      </w:pPr>
    </w:lvl>
  </w:abstractNum>
  <w:abstractNum w:abstractNumId="99727">
    <w:nsid w:val="41f388d6"/>
    <w:multiLevelType w:val="multilevel"/>
    <w:lvl w:ilvl="0">
      <w:start w:val="7"/>
      <w:numFmt w:val="lowerLetter"/>
      <w:lvlText w:val="%1)"/>
      <w:lvlJc w:val="left"/>
      <w:pPr>
        <w:tabs>
          <w:tab w:val="num" w:pos="0"/>
        </w:tabs>
        <w:ind w:left="480" w:hanging="480"/>
      </w:pPr>
    </w:lvl>
    <w:lvl w:ilvl="1">
      <w:start w:val="7"/>
      <w:numFmt w:val="lowerLetter"/>
      <w:lvlText w:val="%2)"/>
      <w:lvlJc w:val="left"/>
      <w:pPr>
        <w:tabs>
          <w:tab w:val="num" w:pos="720"/>
        </w:tabs>
        <w:ind w:left="1200" w:hanging="480"/>
      </w:pPr>
    </w:lvl>
    <w:lvl w:ilvl="2">
      <w:start w:val="7"/>
      <w:numFmt w:val="lowerLetter"/>
      <w:lvlText w:val="%3)"/>
      <w:lvlJc w:val="left"/>
      <w:pPr>
        <w:tabs>
          <w:tab w:val="num" w:pos="1440"/>
        </w:tabs>
        <w:ind w:left="1920" w:hanging="480"/>
      </w:pPr>
    </w:lvl>
    <w:lvl w:ilvl="3">
      <w:start w:val="7"/>
      <w:numFmt w:val="lowerLetter"/>
      <w:lvlText w:val="%4)"/>
      <w:lvlJc w:val="left"/>
      <w:pPr>
        <w:tabs>
          <w:tab w:val="num" w:pos="2160"/>
        </w:tabs>
        <w:ind w:left="2640" w:hanging="480"/>
      </w:pPr>
    </w:lvl>
    <w:lvl w:ilvl="4">
      <w:start w:val="7"/>
      <w:numFmt w:val="lowerLetter"/>
      <w:lvlText w:val="%5)"/>
      <w:lvlJc w:val="left"/>
      <w:pPr>
        <w:tabs>
          <w:tab w:val="num" w:pos="2880"/>
        </w:tabs>
        <w:ind w:left="3360" w:hanging="480"/>
      </w:pPr>
    </w:lvl>
    <w:lvl w:ilvl="5">
      <w:start w:val="7"/>
      <w:numFmt w:val="lowerLetter"/>
      <w:lvlText w:val="%6)"/>
      <w:lvlJc w:val="left"/>
      <w:pPr>
        <w:tabs>
          <w:tab w:val="num" w:pos="3600"/>
        </w:tabs>
        <w:ind w:left="4080" w:hanging="480"/>
      </w:pPr>
    </w:lvl>
    <w:lvl w:ilvl="6">
      <w:start w:val="7"/>
      <w:numFmt w:val="lowerLetter"/>
      <w:lvlText w:val="%7)"/>
      <w:lvlJc w:val="left"/>
      <w:pPr>
        <w:tabs>
          <w:tab w:val="num" w:pos="4320"/>
        </w:tabs>
        <w:ind w:left="4800" w:hanging="480"/>
      </w:pPr>
    </w:lvl>
    <w:lvl w:ilvl="7">
      <w:start w:val="7"/>
      <w:numFmt w:val="lowerLetter"/>
      <w:lvlText w:val="%8)"/>
      <w:lvlJc w:val="left"/>
      <w:pPr>
        <w:tabs>
          <w:tab w:val="num" w:pos="5040"/>
        </w:tabs>
        <w:ind w:left="5520" w:hanging="480"/>
      </w:pPr>
    </w:lvl>
    <w:lvl w:ilvl="8">
      <w:start w:val="7"/>
      <w:numFmt w:val="lowerLetter"/>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9">
    <w:abstractNumId w:val="9972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0">
    <w:abstractNumId w:val="9972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1">
    <w:abstractNumId w:val="9972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6">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7">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8">
    <w:abstractNumId w:val="9972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9">
    <w:abstractNumId w:val="9972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2026-10-09T14:15:38Z</dcterms:created>
  <dcterms:modified xsi:type="dcterms:W3CDTF">2026-10-09T14:15:38Z</dcterms:modified>
</cp:coreProperties>
</file>

<file path=docProps/custom.xml><?xml version="1.0" encoding="utf-8"?>
<Properties xmlns="http://schemas.openxmlformats.org/officeDocument/2006/custom-properties" xmlns:vt="http://schemas.openxmlformats.org/officeDocument/2006/docPropsVTypes"/>
</file>