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45f6606f3a100181ba8a6cd16680166ab3bcaa"/>
      <w:r>
        <w:t xml:space="preserve">ISO9001 System Document Package (41) | Customer Complaint Handling Work Instruction</w:t>
      </w:r>
      <w:bookmarkEnd w:id="20"/>
    </w:p>
    <w:p>
      <w:pPr>
        <w:pStyle w:val="FirstParagraph"/>
      </w:pPr>
      <w:r>
        <w:rPr>
          <w:b/>
        </w:rPr>
        <w:t xml:space="preserve">Document Number</w:t>
      </w:r>
      <w:r>
        <w:t xml:space="preserve">: WI-QA-41　|　</w:t>
      </w:r>
      <w:r>
        <w:rPr>
          <w:b/>
        </w:rPr>
        <w:t xml:space="preserve">Document Level</w:t>
      </w:r>
      <w:r>
        <w:t xml:space="preserve">: Level 3 Document (Work Instruction)　|　</w:t>
      </w:r>
      <w:r>
        <w:rPr>
          <w:b/>
        </w:rPr>
        <w:t xml:space="preserve">Corresponding Clause</w:t>
      </w:r>
      <w:r>
        <w:t xml:space="preserve">: ISO 9001:2015 8.2.1 Customer Communication, 9.1.2 Monitoring of Customer Satisfaction, 10.2 Nonconformity and Corrective Action</w:t>
      </w:r>
    </w:p>
    <w:p>
      <w:pPr>
        <w:pStyle w:val="BodyText"/>
      </w:pPr>
      <w:r>
        <w:rPr>
          <w:b/>
        </w:rPr>
        <w:t xml:space="preserve">Document Description</w:t>
      </w:r>
      <w:r>
        <w:t xml:space="preserve">: This work instruction is an operational-level expansion of the Level 2 documents</w:t>
      </w:r>
      <w:r>
        <w:t xml:space="preserve"> </w:t>
      </w:r>
      <w:r>
        <w:t xml:space="preserve">“</w:t>
      </w:r>
      <w:r>
        <w:t xml:space="preserve">Procedure for Monitoring and Measuring Customer Satisfaction</w:t>
      </w:r>
      <w:r>
        <w:t xml:space="preserve">”</w:t>
      </w:r>
      <w:r>
        <w:t xml:space="preserve"> </w:t>
      </w:r>
      <w:r>
        <w:t xml:space="preserve">(QP-23) and</w:t>
      </w:r>
      <w:r>
        <w:t xml:space="preserve"> </w:t>
      </w:r>
      <w:r>
        <w:t xml:space="preserve">“</w:t>
      </w:r>
      <w:r>
        <w:t xml:space="preserve">Procedure for Nonconformity and Corrective Action</w:t>
      </w:r>
      <w:r>
        <w:t xml:space="preserve">”</w:t>
      </w:r>
      <w:r>
        <w:t xml:space="preserve"> </w:t>
      </w:r>
      <w:r>
        <w:t xml:space="preserve">(QP-27) at the specific entry point of</w:t>
      </w:r>
      <w:r>
        <w:t xml:space="preserve"> </w:t>
      </w:r>
      <w:r>
        <w:t xml:space="preserve">“</w:t>
      </w:r>
      <w:r>
        <w:t xml:space="preserve">complaints.</w:t>
      </w:r>
      <w:r>
        <w:t xml:space="preserve">”</w:t>
      </w:r>
      <w:r>
        <w:t xml:space="preserve"> </w:t>
      </w:r>
      <w:r>
        <w:t xml:space="preserve">The procedure documents answer questions such as</w:t>
      </w:r>
      <w:r>
        <w:t xml:space="preserve"> </w:t>
      </w:r>
      <w:r>
        <w:t xml:space="preserve">“</w:t>
      </w:r>
      <w:r>
        <w:t xml:space="preserve">whether complaints are considered customer satisfaction data, who is responsible, and whether corrective actions are required.</w:t>
      </w:r>
      <w:r>
        <w:t xml:space="preserve">”</w:t>
      </w:r>
      <w:r>
        <w:t xml:space="preserve"> </w:t>
      </w:r>
      <w:r>
        <w:t xml:space="preserve">This work instruction provides more detailed operational guidance: which channels complaints come from, who receives them first, how many minutes to respond, what standards are used to judge the level, how many record forms correspond to each level, who drafts and approves the response to the customer, how many days to close the complaint, and how to escalate if not closed. It is applicable to all manufacturing, trading, and service enterprises that have established customer communication and satisfaction monitoring mechanisms. For enterprises with multiple sales channels (direct sales, dealers, e-commerce platforms, foreign trade customers), the complaint handling paths can be extended separately for each channel. The document includes six complete sections: complaint registration, graded response, handling and reply, cause analysis and measures, verification and closure, and statistical analysis, along with field lists and filling examples for the</w:t>
      </w:r>
      <w:r>
        <w:t xml:space="preserve"> </w:t>
      </w:r>
      <w:r>
        <w:t xml:space="preserve">“</w:t>
      </w:r>
      <w:r>
        <w:t xml:space="preserve">Customer Complaint Registration Form</w:t>
      </w:r>
      <w:r>
        <w:t xml:space="preserve">”</w:t>
      </w:r>
      <w:r>
        <w:t xml:space="preserve"> </w:t>
      </w:r>
      <w:r>
        <w:t xml:space="preserve">and</w:t>
      </w:r>
      <w:r>
        <w:t xml:space="preserve"> </w:t>
      </w:r>
      <w:r>
        <w:t xml:space="preserve">“</w:t>
      </w:r>
      <w:r>
        <w:t xml:space="preserve">Customer Complaint Handling Form,</w:t>
      </w:r>
      <w:r>
        <w:t xml:space="preserve">”</w:t>
      </w:r>
      <w:r>
        <w:t xml:space="preserve"> </w:t>
      </w:r>
      <w:r>
        <w:t xml:space="preserve">which can be directly used as controlled documents for release.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activities of receiving, registering, grading, handling, responding, verifying, and closing customer complaints (including grievances, feedback, and requests for returns, exchanges, or claims), ensuring:</w:t>
      </w:r>
    </w:p>
    <w:p>
      <w:pPr>
        <w:numPr>
          <w:ilvl w:val="0"/>
          <w:numId w:val="1001"/>
        </w:numPr>
        <w:pStyle w:val="Compact"/>
      </w:pPr>
      <w:r>
        <w:t xml:space="preserve">Each customer complaint has a unique number, a responsible person, a timeline, and a closed-loop conclusion, eliminating complaints that are</w:t>
      </w:r>
      <w:r>
        <w:t xml:space="preserve"> </w:t>
      </w:r>
      <w:r>
        <w:t xml:space="preserve">“</w:t>
      </w:r>
      <w:r>
        <w:t xml:space="preserve">just mentioned verbally and forgotten.</w:t>
      </w:r>
      <w:r>
        <w:t xml:space="preserve">”</w:t>
      </w:r>
    </w:p>
    <w:p>
      <w:pPr>
        <w:numPr>
          <w:ilvl w:val="0"/>
          <w:numId w:val="1001"/>
        </w:numPr>
        <w:pStyle w:val="Compact"/>
      </w:pPr>
      <w:r>
        <w:t xml:space="preserve">The response speed and handling depth match the severity of the complaint, ensuring that major complaints are not treated as ordinary cases and that ordinary cases do not consume the resources allocated for major complaints.</w:t>
      </w:r>
    </w:p>
    <w:p>
      <w:pPr>
        <w:numPr>
          <w:ilvl w:val="0"/>
          <w:numId w:val="1001"/>
        </w:numPr>
        <w:pStyle w:val="Compact"/>
      </w:pPr>
      <w:r>
        <w:t xml:space="preserve">Complaint information serves as formal input for monitoring customer satisfaction (9.1.2) and corrective actions (10.2), allowing for statistical analysis and traceability to support continuous improvement of the system.</w:t>
      </w:r>
    </w:p>
    <w:p>
      <w:pPr>
        <w:numPr>
          <w:ilvl w:val="0"/>
          <w:numId w:val="1001"/>
        </w:numPr>
        <w:pStyle w:val="Compact"/>
      </w:pPr>
      <w:r>
        <w:t xml:space="preserve">Every communication with the customer is documented, providing a complete evidence chain for certification audits, customer second-party audits, and quality dispute resolution.</w:t>
      </w:r>
    </w:p>
    <w:p>
      <w:pPr>
        <w:pStyle w:val="Heading2"/>
      </w:pPr>
      <w:bookmarkStart w:id="22" w:name="scope-of-application"/>
      <w:r>
        <w:t xml:space="preserve">2. Scope of Application</w:t>
      </w:r>
      <w:bookmarkEnd w:id="22"/>
    </w:p>
    <w:p>
      <w:pPr>
        <w:pStyle w:val="FirstParagraph"/>
      </w:pPr>
      <w:r>
        <w:t xml:space="preserve">2.1 Applicable to all customer complaints received by the company, including but not limited to:</w:t>
      </w:r>
    </w:p>
    <w:p>
      <w:pPr>
        <w:numPr>
          <w:ilvl w:val="0"/>
          <w:numId w:val="1002"/>
        </w:numPr>
        <w:pStyle w:val="Compact"/>
      </w:pPr>
      <w:r>
        <w:t xml:space="preserve">Product Quality: Function failure, appearance defects, dimensional deviations, packaging damage, wrong or missing shipments, batch nonconformities.</w:t>
      </w:r>
    </w:p>
    <w:p>
      <w:pPr>
        <w:numPr>
          <w:ilvl w:val="0"/>
          <w:numId w:val="1002"/>
        </w:numPr>
        <w:pStyle w:val="Compact"/>
      </w:pPr>
      <w:r>
        <w:t xml:space="preserve">Delivery Service: Delivery delays, quantity shortages, logistics damage, document errors, order execution discrepancies.</w:t>
      </w:r>
    </w:p>
    <w:p>
      <w:pPr>
        <w:numPr>
          <w:ilvl w:val="0"/>
          <w:numId w:val="1002"/>
        </w:numPr>
        <w:pStyle w:val="Compact"/>
      </w:pPr>
      <w:r>
        <w:t xml:space="preserve">Technical Support: Inadequate installation and commissioning, missing usage instructions, untimely spare parts supply, slow response.</w:t>
      </w:r>
    </w:p>
    <w:p>
      <w:pPr>
        <w:numPr>
          <w:ilvl w:val="0"/>
          <w:numId w:val="1002"/>
        </w:numPr>
        <w:pStyle w:val="Compact"/>
      </w:pPr>
      <w:r>
        <w:t xml:space="preserve">Documentation and Business: Quotation and settlement disputes, contract clause execution discrepancies, untimely provision of certification documents and inspection reports.</w:t>
      </w:r>
    </w:p>
    <w:p>
      <w:pPr>
        <w:numPr>
          <w:ilvl w:val="0"/>
          <w:numId w:val="1002"/>
        </w:numPr>
        <w:pStyle w:val="Compact"/>
      </w:pPr>
      <w:r>
        <w:t xml:space="preserve">Verbal Grievances and Negative Feedback: Dissatisfaction expressed by customers during routine visits, phone calls, meetings, even if no formal claim is made.</w:t>
      </w:r>
    </w:p>
    <w:p>
      <w:pPr>
        <w:pStyle w:val="FirstParagraph"/>
      </w:pPr>
      <w:r>
        <w:t xml:space="preserve">2.2 Complaint channels include: sales/customer service personnel relay, customer written letters and emails, phone calls, WeChat or other instant messaging, e-commerce platform and official website comments, issues raised during customer on-site audits and supplier meetings, negative opinions filled in customer satisfaction survey questionnaires, and customer complaints relayed by third parties.</w:t>
      </w:r>
    </w:p>
    <w:p>
      <w:pPr>
        <w:pStyle w:val="BodyText"/>
      </w:pPr>
      <w:r>
        <w:t xml:space="preserve">2.3 The following situations are not handled under this document but should be processed according to the corresponding procedures. However, if the customer raises a complaint, it must be registered with a unique number and then transferred for processing:</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Situation</w:t>
            </w:r>
          </w:p>
        </w:tc>
        <w:tc>
          <w:tcPr>
            <w:tcBorders>
              <w:bottom w:val="single"/>
            </w:tcBorders>
            <w:vAlign w:val="bottom"/>
          </w:tcPr>
          <w:p>
            <w:pPr>
              <w:pStyle w:val="Compact"/>
              <w:jc w:val="left"/>
            </w:pPr>
            <w:r>
              <w:t xml:space="preserve">Handling Basis</w:t>
            </w:r>
          </w:p>
        </w:tc>
      </w:tr>
      <w:tr>
        <w:tc>
          <w:p>
            <w:pPr>
              <w:pStyle w:val="Compact"/>
              <w:jc w:val="left"/>
            </w:pPr>
            <w:r>
              <w:t xml:space="preserve">Customer returns, exchanges, claims, or recall requests</w:t>
            </w:r>
          </w:p>
        </w:tc>
        <w:tc>
          <w:p>
            <w:pPr>
              <w:pStyle w:val="Compact"/>
              <w:jc w:val="left"/>
            </w:pPr>
            <w:r>
              <w:t xml:space="preserve">Handle according to the</w:t>
            </w:r>
            <w:r>
              <w:t xml:space="preserve"> </w:t>
            </w:r>
            <w:r>
              <w:t xml:space="preserve">“</w:t>
            </w:r>
            <w:r>
              <w:t xml:space="preserve">Nonconforming Product Control Procedure</w:t>
            </w:r>
            <w:r>
              <w:t xml:space="preserve">”</w:t>
            </w:r>
            <w:r>
              <w:t xml:space="preserve"> </w:t>
            </w:r>
            <w:r>
              <w:t xml:space="preserve">(QP-22) and contract terms, record associated numbers in the complaint form.</w:t>
            </w:r>
          </w:p>
        </w:tc>
      </w:tr>
      <w:tr>
        <w:tc>
          <w:p>
            <w:pPr>
              <w:pStyle w:val="Compact"/>
              <w:jc w:val="left"/>
            </w:pPr>
            <w:r>
              <w:t xml:space="preserve">Damage or loss of customer property (molds, drawings, samples, equipment)</w:t>
            </w:r>
          </w:p>
        </w:tc>
        <w:tc>
          <w:p>
            <w:pPr>
              <w:pStyle w:val="Compact"/>
              <w:jc w:val="left"/>
            </w:pPr>
            <w:r>
              <w:t xml:space="preserve">Handle according to the</w:t>
            </w:r>
            <w:r>
              <w:t xml:space="preserve"> </w:t>
            </w:r>
            <w:r>
              <w:t xml:space="preserve">“</w:t>
            </w:r>
            <w:r>
              <w:t xml:space="preserve">Customer Property Control Procedure</w:t>
            </w:r>
            <w:r>
              <w:t xml:space="preserve">”</w:t>
            </w:r>
            <w:r>
              <w:t xml:space="preserve"> </w:t>
            </w:r>
            <w:r>
              <w:t xml:space="preserve">(QP-19).</w:t>
            </w:r>
          </w:p>
        </w:tc>
      </w:tr>
      <w:tr>
        <w:tc>
          <w:p>
            <w:pPr>
              <w:pStyle w:val="Compact"/>
              <w:jc w:val="left"/>
            </w:pPr>
            <w:r>
              <w:t xml:space="preserve">Customer design changes or drawing modification requests</w:t>
            </w:r>
          </w:p>
        </w:tc>
        <w:tc>
          <w:p>
            <w:pPr>
              <w:pStyle w:val="Compact"/>
              <w:jc w:val="left"/>
            </w:pPr>
            <w:r>
              <w:t xml:space="preserve">Handle according to the</w:t>
            </w:r>
            <w:r>
              <w:t xml:space="preserve"> </w:t>
            </w:r>
            <w:r>
              <w:t xml:space="preserve">“</w:t>
            </w:r>
            <w:r>
              <w:t xml:space="preserve">Change Management Procedure</w:t>
            </w:r>
            <w:r>
              <w:t xml:space="preserve">”</w:t>
            </w:r>
            <w:r>
              <w:t xml:space="preserve"> </w:t>
            </w:r>
            <w:r>
              <w:t xml:space="preserve">(QP-29).</w:t>
            </w:r>
          </w:p>
        </w:tc>
      </w:tr>
      <w:tr>
        <w:tc>
          <w:p>
            <w:pPr>
              <w:pStyle w:val="Compact"/>
              <w:jc w:val="left"/>
            </w:pPr>
            <w:r>
              <w:t xml:space="preserve">New orders or new project requirements from customers</w:t>
            </w:r>
          </w:p>
        </w:tc>
        <w:tc>
          <w:p>
            <w:pPr>
              <w:pStyle w:val="Compact"/>
              <w:jc w:val="left"/>
            </w:pPr>
            <w:r>
              <w:t xml:space="preserve">Handle according to the</w:t>
            </w:r>
            <w:r>
              <w:t xml:space="preserve"> </w:t>
            </w:r>
            <w:r>
              <w:t xml:space="preserve">“</w:t>
            </w:r>
            <w:r>
              <w:t xml:space="preserve">Procedure for Control of Processes Related to the Customer</w:t>
            </w:r>
            <w:r>
              <w:t xml:space="preserve">”</w:t>
            </w:r>
            <w:r>
              <w:t xml:space="preserve"> </w:t>
            </w:r>
            <w:r>
              <w:t xml:space="preserve">(QP-14).</w:t>
            </w:r>
          </w:p>
        </w:tc>
      </w:tr>
      <w:tr>
        <w:tc>
          <w:p>
            <w:pPr>
              <w:pStyle w:val="Compact"/>
              <w:jc w:val="left"/>
            </w:pPr>
            <w:r>
              <w:t xml:space="preserve">Overall evaluation comments provided by customers in survey questionnaires</w:t>
            </w:r>
          </w:p>
        </w:tc>
        <w:tc>
          <w:p>
            <w:pPr>
              <w:pStyle w:val="Compact"/>
              <w:jc w:val="left"/>
            </w:pPr>
            <w:r>
              <w:t xml:space="preserve">Include in satisfaction analysis, do not open separate complaint forms.</w:t>
            </w:r>
          </w:p>
        </w:tc>
      </w:tr>
    </w:tbl>
    <w:p>
      <w:pPr>
        <w:pStyle w:val="BodyText"/>
      </w:pPr>
      <w:r>
        <w:t xml:space="preserve">2.4 Complaints relayed by customer-designated subcontractors or dealers from end-users are treated as customer complaints. Responsibility determination can be further elaborated, but the response time to the customer remains unchanged.</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 the handling plan and external response letters for Level I (major) complaints; decide on resource allocation for major complaints such as recalls, production line stops, and batch exchanges; review complaint trends and improvement measures in management reviews.</w:t>
      </w:r>
    </w:p>
    <w:p>
      <w:pPr>
        <w:pStyle w:val="BodyText"/>
      </w:pPr>
      <w:r>
        <w:t xml:space="preserve">3.2</w:t>
      </w:r>
      <w:r>
        <w:t xml:space="preserve"> </w:t>
      </w:r>
      <w:r>
        <w:rPr>
          <w:b/>
        </w:rPr>
        <w:t xml:space="preserve">Management Representative</w:t>
      </w:r>
      <w:r>
        <w:t xml:space="preserve">: Oversee the entire complaint handling process; approve adjustments to complaint grading conclusions; chair cross-departmental complaint-specific meetings; exercise escalation authority for complaints not closed on time.</w:t>
      </w:r>
    </w:p>
    <w:p>
      <w:pPr>
        <w:pStyle w:val="BodyText"/>
      </w:pPr>
      <w:r>
        <w:t xml:space="preserve">3.3</w:t>
      </w:r>
      <w:r>
        <w:t xml:space="preserve"> </w:t>
      </w:r>
      <w:r>
        <w:rPr>
          <w:b/>
        </w:rPr>
        <w:t xml:space="preserve">Sales Department/Customer Service Department</w:t>
      </w:r>
      <w:r>
        <w:t xml:space="preserve">: The first point of contact and unified external window for complaints. Responsible for registration, filling out the</w:t>
      </w:r>
      <w:r>
        <w:t xml:space="preserve"> </w:t>
      </w:r>
      <w:r>
        <w:t xml:space="preserve">“</w:t>
      </w:r>
      <w:r>
        <w:t xml:space="preserve">Customer Complaint Registration Form,</w:t>
      </w:r>
      <w:r>
        <w:t xml:space="preserve">”</w:t>
      </w:r>
      <w:r>
        <w:t xml:space="preserve"> </w:t>
      </w:r>
      <w:r>
        <w:t xml:space="preserve">preliminary grading, providing interim responses to customers, collecting customer confirmation of handling results, and maintaining customer communication records.</w:t>
      </w:r>
    </w:p>
    <w:p>
      <w:pPr>
        <w:pStyle w:val="BodyText"/>
      </w:pPr>
      <w:r>
        <w:t xml:space="preserve">3.4</w:t>
      </w:r>
      <w:r>
        <w:t xml:space="preserve"> </w:t>
      </w:r>
      <w:r>
        <w:rPr>
          <w:b/>
        </w:rPr>
        <w:t xml:space="preserve">Quality Department</w:t>
      </w:r>
      <w:r>
        <w:t xml:space="preserve">: The technical department responsible for complaint handling. Responsible for organizing cause analysis, determining responsibility, formulating and reviewing corrective actions, verifying the effectiveness of measures, compiling monthly statistical analysis reports, and leading corrective actions for Level I complaints.</w:t>
      </w:r>
    </w:p>
    <w:p>
      <w:pPr>
        <w:pStyle w:val="BodyText"/>
      </w:pPr>
      <w:r>
        <w:t xml:space="preserve">3.5</w:t>
      </w:r>
      <w:r>
        <w:t xml:space="preserve"> </w:t>
      </w:r>
      <w:r>
        <w:rPr>
          <w:b/>
        </w:rPr>
        <w:t xml:space="preserve">Technical Department/Engineering Department</w:t>
      </w:r>
      <w:r>
        <w:t xml:space="preserve">: Participate in failure mechanism analysis, drawing and process comparisons, and the formulation and implementation of technical corrective actions.</w:t>
      </w:r>
    </w:p>
    <w:p>
      <w:pPr>
        <w:pStyle w:val="BodyText"/>
      </w:pPr>
      <w:r>
        <w:t xml:space="preserve">3.6</w:t>
      </w:r>
      <w:r>
        <w:t xml:space="preserve"> </w:t>
      </w:r>
      <w:r>
        <w:rPr>
          <w:b/>
        </w:rPr>
        <w:t xml:space="preserve">Production Department</w:t>
      </w:r>
      <w:r>
        <w:t xml:space="preserve">: Provide process original records (first article, patrol inspection, parameter records, personnel shifts); implement containment and process corrective actions; conduct investigations of work-in-progress and inventory items.</w:t>
      </w:r>
    </w:p>
    <w:p>
      <w:pPr>
        <w:pStyle w:val="BodyText"/>
      </w:pPr>
      <w:r>
        <w:t xml:space="preserve">3.7</w:t>
      </w:r>
      <w:r>
        <w:t xml:space="preserve"> </w:t>
      </w:r>
      <w:r>
        <w:rPr>
          <w:b/>
        </w:rPr>
        <w:t xml:space="preserve">Purchasing Department</w:t>
      </w:r>
      <w:r>
        <w:t xml:space="preserve">: When the cause points to external providers, issue improvement requirements to suppliers and track verification according to the</w:t>
      </w:r>
      <w:r>
        <w:t xml:space="preserve"> </w:t>
      </w:r>
      <w:r>
        <w:t xml:space="preserve">“</w:t>
      </w:r>
      <w:r>
        <w:t xml:space="preserve">Procurement and External Provider Control Procedure</w:t>
      </w:r>
      <w:r>
        <w:t xml:space="preserve">”</w:t>
      </w:r>
      <w:r>
        <w:t xml:space="preserve"> </w:t>
      </w:r>
      <w:r>
        <w:t xml:space="preserve">(QP-16).</w:t>
      </w:r>
    </w:p>
    <w:p>
      <w:pPr>
        <w:pStyle w:val="BodyText"/>
      </w:pPr>
      <w:r>
        <w:t xml:space="preserve">3.8</w:t>
      </w:r>
      <w:r>
        <w:t xml:space="preserve"> </w:t>
      </w:r>
      <w:r>
        <w:rPr>
          <w:b/>
        </w:rPr>
        <w:t xml:space="preserve">Warehouse/Logistics</w:t>
      </w:r>
      <w:r>
        <w:t xml:space="preserve">: Responsible for isolating, counting, reworking, or exchanging in-stock and in-transit products, providing factual data for delivery and packaging.</w:t>
      </w:r>
    </w:p>
    <w:p>
      <w:pPr>
        <w:pStyle w:val="Heading2"/>
      </w:pPr>
      <w:bookmarkStart w:id="24" w:name="work-procedures"/>
      <w:r>
        <w:t xml:space="preserve">4. Work Procedures</w:t>
      </w:r>
      <w:bookmarkEnd w:id="24"/>
    </w:p>
    <w:p>
      <w:pPr>
        <w:pStyle w:val="Heading3"/>
      </w:pPr>
      <w:bookmarkStart w:id="25" w:name="complaint-reception-and-registration"/>
      <w:r>
        <w:t xml:space="preserve">4.1 Complaint Reception and Registration</w:t>
      </w:r>
      <w:bookmarkEnd w:id="25"/>
    </w:p>
    <w:p>
      <w:pPr>
        <w:pStyle w:val="FirstParagraph"/>
      </w:pPr>
      <w:r>
        <w:t xml:space="preserve">4.1.1 Any employee receiving customer complaint information should transfer it to the Sales Department/Customer Service Department within 30 minutes; they must not make their own commitments regarding handling conclusions or compensation plans.</w:t>
      </w:r>
    </w:p>
    <w:p>
      <w:pPr>
        <w:pStyle w:val="BodyText"/>
      </w:pPr>
      <w:r>
        <w:t xml:space="preserve">4.1.2 The recipient should complete the registration within 2 hours of receiving the complaint, assign a unique complaint number, and fill out the</w:t>
      </w:r>
      <w:r>
        <w:t xml:space="preserve"> </w:t>
      </w:r>
      <w:r>
        <w:t xml:space="preserve">“</w:t>
      </w:r>
      <w:r>
        <w:t xml:space="preserve">Customer Complaint Registration Form</w:t>
      </w:r>
      <w:r>
        <w:t xml:space="preserve">”</w:t>
      </w:r>
      <w:r>
        <w:t xml:space="preserve"> </w:t>
      </w:r>
      <w:r>
        <w:t xml:space="preserve">(QR-41-01). The numbering rule is</w:t>
      </w:r>
      <w:r>
        <w:t xml:space="preserve"> </w:t>
      </w:r>
      <w:r>
        <w:rPr>
          <w:rStyle w:val="VerbatimChar"/>
        </w:rPr>
        <w:t xml:space="preserve">TS-Year-Three-digit serial number</w:t>
      </w:r>
      <w:r>
        <w:t xml:space="preserve"> </w:t>
      </w:r>
      <w:r>
        <w:t xml:space="preserve">(e.g., TS-2026-018).</w:t>
      </w:r>
    </w:p>
    <w:p>
      <w:pPr>
        <w:pStyle w:val="BodyText"/>
      </w:pPr>
      <w:r>
        <w:t xml:space="preserve">4.1.3 The registration content should include at least: customer name and contact information, complaint submission date and channel, complainant identity, product name/model/batch number/delivery date/quantity, problem description and customer’s original expression, customer’s explicit or implicit expectations (returns, exchanges, rework, claims, explanations, apologies, etc.), accompanying physical and image evidence, and the recipient.</w:t>
      </w:r>
    </w:p>
    <w:p>
      <w:pPr>
        <w:pStyle w:val="BodyText"/>
      </w:pPr>
      <w:r>
        <w:t xml:space="preserve">4.1.4 When the customer’s statement is vague, the recipient should clarify key elements (specific batch, failure rate, discovery process, failure mode) and confirm the restatement to avoid analysis errors due to misunderstandings. The clarification process should be recorded in the communication record.</w:t>
      </w:r>
    </w:p>
    <w:p>
      <w:pPr>
        <w:pStyle w:val="BodyText"/>
      </w:pPr>
      <w:r>
        <w:t xml:space="preserve">4.1.5 Objective evidence such as complaint physical items, returned samples, photos, and test reports should be retained and associated with the complaint number. Physical samples should be marked according to the</w:t>
      </w:r>
      <w:r>
        <w:t xml:space="preserve"> </w:t>
      </w:r>
      <w:r>
        <w:t xml:space="preserve">“</w:t>
      </w:r>
      <w:r>
        <w:t xml:space="preserve">Procedure for Identification and Traceability Control</w:t>
      </w:r>
      <w:r>
        <w:t xml:space="preserve">”</w:t>
      </w:r>
      <w:r>
        <w:t xml:space="preserve"> </w:t>
      </w:r>
      <w:r>
        <w:t xml:space="preserve">(QP-18) and stored by the Quality Department for at least 6 months.</w:t>
      </w:r>
    </w:p>
    <w:p>
      <w:pPr>
        <w:pStyle w:val="Heading3"/>
      </w:pPr>
      <w:bookmarkStart w:id="26" w:name="complaint-grading"/>
      <w:r>
        <w:t xml:space="preserve">4.2 Complaint Grading</w:t>
      </w:r>
      <w:bookmarkEnd w:id="26"/>
    </w:p>
    <w:p>
      <w:pPr>
        <w:pStyle w:val="FirstParagraph"/>
      </w:pPr>
      <w:r>
        <w:t xml:space="preserve">4.2.1 The Sales Department/Customer Service Department, together with the Quality Department, should complete the grading determination within 2 hours of registration and fill it in the grading column of the</w:t>
      </w:r>
      <w:r>
        <w:t xml:space="preserve"> </w:t>
      </w:r>
      <w:r>
        <w:t xml:space="preserve">“</w:t>
      </w:r>
      <w:r>
        <w:t xml:space="preserve">Customer Complaint Registration Form.</w:t>
      </w:r>
      <w:r>
        <w:t xml:space="preserve">”</w:t>
      </w:r>
      <w:r>
        <w:t xml:space="preserve"> </w:t>
      </w:r>
      <w:r>
        <w:t xml:space="preserve">The grading criteria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Determination Criteria (Any One Applies)</w:t>
            </w:r>
          </w:p>
        </w:tc>
        <w:tc>
          <w:tcPr>
            <w:tcBorders>
              <w:bottom w:val="single"/>
            </w:tcBorders>
            <w:vAlign w:val="bottom"/>
          </w:tcPr>
          <w:p>
            <w:pPr>
              <w:pStyle w:val="Compact"/>
              <w:jc w:val="left"/>
            </w:pPr>
            <w:r>
              <w:t xml:space="preserve">Response Time</w:t>
            </w:r>
          </w:p>
        </w:tc>
        <w:tc>
          <w:tcPr>
            <w:tcBorders>
              <w:bottom w:val="single"/>
            </w:tcBorders>
            <w:vAlign w:val="bottom"/>
          </w:tcPr>
          <w:p>
            <w:pPr>
              <w:pStyle w:val="Compact"/>
              <w:jc w:val="left"/>
            </w:pPr>
            <w:r>
              <w:t xml:space="preserve">Closure Time</w:t>
            </w:r>
          </w:p>
        </w:tc>
      </w:tr>
      <w:tr>
        <w:tc>
          <w:p>
            <w:pPr>
              <w:pStyle w:val="Compact"/>
              <w:jc w:val="left"/>
            </w:pPr>
            <w:r>
              <w:t xml:space="preserve">Level I (Major)</w:t>
            </w:r>
          </w:p>
        </w:tc>
        <w:tc>
          <w:p>
            <w:pPr>
              <w:pStyle w:val="Compact"/>
              <w:jc w:val="left"/>
            </w:pPr>
            <w:r>
              <w:t xml:space="preserve">Involves personal safety or regulatory compliance; causes customer production line stoppage; batch nonconformities (more than 5% of the same failure mode or entire batch nonconformities); triggers written claims, returns, or downgrade notices from customers; media or regulatory intervention; the same issue reoccurs for the third time within 12 months</w:t>
            </w:r>
          </w:p>
        </w:tc>
        <w:tc>
          <w:p>
            <w:pPr>
              <w:pStyle w:val="Compact"/>
              <w:jc w:val="left"/>
            </w:pPr>
            <w:r>
              <w:t xml:space="preserve">Respond within 1 hour, provide temporary containment measures within 4 hours</w:t>
            </w:r>
          </w:p>
        </w:tc>
        <w:tc>
          <w:p>
            <w:pPr>
              <w:pStyle w:val="Compact"/>
              <w:jc w:val="left"/>
            </w:pPr>
            <w:r>
              <w:t xml:space="preserve">Close within 15 working days (or according to customer’s shorter requirement)</w:t>
            </w:r>
          </w:p>
        </w:tc>
      </w:tr>
      <w:tr>
        <w:tc>
          <w:p>
            <w:pPr>
              <w:pStyle w:val="Compact"/>
              <w:jc w:val="left"/>
            </w:pPr>
            <w:r>
              <w:t xml:space="preserve">Level II (Significant)</w:t>
            </w:r>
          </w:p>
        </w:tc>
        <w:tc>
          <w:p>
            <w:pPr>
              <w:pStyle w:val="Compact"/>
              <w:jc w:val="left"/>
            </w:pPr>
            <w:r>
              <w:t xml:space="preserve">Affects customer normal use or requires internal rework; customer explicitly expresses dissatisfaction and requests an improvement report; multiple nonconformities in the same batch but not reaching batch standards</w:t>
            </w:r>
          </w:p>
        </w:tc>
        <w:tc>
          <w:p>
            <w:pPr>
              <w:pStyle w:val="Compact"/>
              <w:jc w:val="left"/>
            </w:pPr>
            <w:r>
              <w:t xml:space="preserve">Respond within 4 hours, provide temporary containment measures within 24 hours</w:t>
            </w:r>
          </w:p>
        </w:tc>
        <w:tc>
          <w:p>
            <w:pPr>
              <w:pStyle w:val="Compact"/>
              <w:jc w:val="left"/>
            </w:pPr>
            <w:r>
              <w:t xml:space="preserve">Close within 30 natural days</w:t>
            </w:r>
          </w:p>
        </w:tc>
      </w:tr>
      <w:tr>
        <w:tc>
          <w:p>
            <w:pPr>
              <w:pStyle w:val="Compact"/>
              <w:jc w:val="left"/>
            </w:pPr>
            <w:r>
              <w:t xml:space="preserve">Level III (General)</w:t>
            </w:r>
          </w:p>
        </w:tc>
        <w:tc>
          <w:p>
            <w:pPr>
              <w:pStyle w:val="Compact"/>
              <w:jc w:val="left"/>
            </w:pPr>
            <w:r>
              <w:t xml:space="preserve">Individual nonconformities, appearance disputes, packaging and document issues, minor delivery delays, consultation and suggestion feedback</w:t>
            </w:r>
          </w:p>
        </w:tc>
        <w:tc>
          <w:p>
            <w:pPr>
              <w:pStyle w:val="Compact"/>
              <w:jc w:val="left"/>
            </w:pPr>
            <w:r>
              <w:t xml:space="preserve">Respond within 24 hours</w:t>
            </w:r>
          </w:p>
        </w:tc>
        <w:tc>
          <w:p>
            <w:pPr>
              <w:pStyle w:val="Compact"/>
              <w:jc w:val="left"/>
            </w:pPr>
            <w:r>
              <w:t xml:space="preserve">Close within 7 working days</w:t>
            </w:r>
          </w:p>
        </w:tc>
      </w:tr>
    </w:tbl>
    <w:p>
      <w:pPr>
        <w:pStyle w:val="BodyText"/>
      </w:pPr>
      <w:r>
        <w:t xml:space="preserve">4.2.2 Grading should be immediately upgraded in the following situations: the customer escalates the complaint, the complaint is escalated to the customer’s quality director or above, additional similar complaints arise, or the customer explicitly requests a report in 8D or a specific format.</w:t>
      </w:r>
    </w:p>
    <w:p>
      <w:pPr>
        <w:pStyle w:val="BodyText"/>
      </w:pPr>
      <w:r>
        <w:t xml:space="preserve">4.2.3 Grading should not be downgraded to shorten the handling cycle. If there is a dispute over the grading conclusion, the Management Representative should rule, and the ruling record should be retained.</w:t>
      </w:r>
    </w:p>
    <w:p>
      <w:pPr>
        <w:pStyle w:val="Heading3"/>
      </w:pPr>
      <w:bookmarkStart w:id="27" w:name="handling-process-textual-flowchart"/>
      <w:r>
        <w:t xml:space="preserve">4.3 Handling Process (Textual Flowchart)</w:t>
      </w:r>
      <w:bookmarkEnd w:id="27"/>
    </w:p>
    <w:p>
      <w:pPr>
        <w:pStyle w:val="SourceCode"/>
      </w:pPr>
      <w:r>
        <w:rPr>
          <w:rStyle w:val="VerbatimChar"/>
        </w:rPr>
        <w:t xml:space="preserve">Customer Complaint Information (Any Channel)</w:t>
      </w:r>
      <w:r>
        <w:br/>
      </w:r>
      <w:r>
        <w:rPr>
          <w:rStyle w:val="VerbatimChar"/>
        </w:rPr>
        <w:t xml:space="preserve">   │</w:t>
      </w:r>
      <w:r>
        <w:br/>
      </w:r>
      <w:r>
        <w:rPr>
          <w:rStyle w:val="VerbatimChar"/>
        </w:rPr>
        <w:t xml:space="preserve">   ▼</w:t>
      </w:r>
      <w:r>
        <w:br/>
      </w:r>
      <w:r>
        <w:rPr>
          <w:rStyle w:val="VerbatimChar"/>
        </w:rPr>
        <w:t xml:space="preserve">[1] Recipient transfers to Sales Department/Customer Service Department within 30 minutes → Sales Department/Customer Service Department registers and assigns a unique complaint number within 2 hours (QR-41-01)</w:t>
      </w:r>
      <w:r>
        <w:br/>
      </w:r>
      <w:r>
        <w:rPr>
          <w:rStyle w:val="VerbatimChar"/>
        </w:rPr>
        <w:t xml:space="preserve">   │</w:t>
      </w:r>
      <w:r>
        <w:br/>
      </w:r>
      <w:r>
        <w:rPr>
          <w:rStyle w:val="VerbatimChar"/>
        </w:rPr>
        <w:t xml:space="preserve">   ▼</w:t>
      </w:r>
      <w:r>
        <w:br/>
      </w:r>
      <w:r>
        <w:rPr>
          <w:rStyle w:val="VerbatimChar"/>
        </w:rPr>
        <w:t xml:space="preserve">[2] Grading determination (Sales Department + Quality Department, within 2 hours) ──Level I─→ Immediately report to General Manager and Management Representative</w:t>
      </w:r>
      <w:r>
        <w:br/>
      </w:r>
      <w:r>
        <w:rPr>
          <w:rStyle w:val="VerbatimChar"/>
        </w:rPr>
        <w:t xml:space="preserve">   │                                   └─Level II/III─→ Proceed according to standard timelines</w:t>
      </w:r>
      <w:r>
        <w:br/>
      </w:r>
      <w:r>
        <w:rPr>
          <w:rStyle w:val="VerbatimChar"/>
        </w:rPr>
        <w:t xml:space="preserve">   ▼</w:t>
      </w:r>
      <w:r>
        <w:br/>
      </w:r>
      <w:r>
        <w:rPr>
          <w:rStyle w:val="VerbatimChar"/>
        </w:rPr>
        <w:t xml:space="preserve">[3] Temporary Containment (Level I within 4 hours, Level II within 24 hours)</w:t>
      </w:r>
      <w:r>
        <w:br/>
      </w:r>
      <w:r>
        <w:rPr>
          <w:rStyle w:val="VerbatimChar"/>
        </w:rPr>
        <w:t xml:space="preserve">     · Delivered products: Notify the customer to investigate, exchange if necessary, or conduct on-site sorting</w:t>
      </w:r>
      <w:r>
        <w:br/>
      </w:r>
      <w:r>
        <w:rPr>
          <w:rStyle w:val="VerbatimChar"/>
        </w:rPr>
        <w:t xml:space="preserve">     · In-transit products: Intercept, hold, and re-inspect</w:t>
      </w:r>
      <w:r>
        <w:br/>
      </w:r>
      <w:r>
        <w:rPr>
          <w:rStyle w:val="VerbatimChar"/>
        </w:rPr>
        <w:t xml:space="preserve">     · Inventory and in-process: Isolate, mark, and fully re-inspect</w:t>
      </w:r>
      <w:r>
        <w:br/>
      </w:r>
      <w:r>
        <w:rPr>
          <w:rStyle w:val="VerbatimChar"/>
        </w:rPr>
        <w:t xml:space="preserve">     · When customer production line is stopped: Provide interim supplies or send personnel for on-site support</w:t>
      </w:r>
      <w:r>
        <w:br/>
      </w:r>
      <w:r>
        <w:rPr>
          <w:rStyle w:val="VerbatimChar"/>
        </w:rPr>
        <w:t xml:space="preserve">   │</w:t>
      </w:r>
      <w:r>
        <w:br/>
      </w:r>
      <w:r>
        <w:rPr>
          <w:rStyle w:val="VerbatimChar"/>
        </w:rPr>
        <w:t xml:space="preserve">   ▼</w:t>
      </w:r>
      <w:r>
        <w:br/>
      </w:r>
      <w:r>
        <w:rPr>
          <w:rStyle w:val="VerbatimChar"/>
        </w:rPr>
        <w:t xml:space="preserve">[4] Information Verification and Failure Reproduction (Led by Quality Department)</w:t>
      </w:r>
      <w:r>
        <w:br/>
      </w:r>
      <w:r>
        <w:rPr>
          <w:rStyle w:val="VerbatimChar"/>
        </w:rPr>
        <w:t xml:space="preserve">     · Retrieve original records of the batch (incoming inspection, first article, patrol inspection, finished product inspection, release documents)</w:t>
      </w:r>
      <w:r>
        <w:br/>
      </w:r>
      <w:r>
        <w:rPr>
          <w:rStyle w:val="VerbatimChar"/>
        </w:rPr>
        <w:t xml:space="preserve">     · Re-test retained samples or customer-returned items to confirm failure mode and impact scope</w:t>
      </w:r>
      <w:r>
        <w:br/>
      </w:r>
      <w:r>
        <w:rPr>
          <w:rStyle w:val="VerbatimChar"/>
        </w:rPr>
        <w:t xml:space="preserve">     · If necessary, visit the customer's site to confirm usage conditions and installation status</w:t>
      </w:r>
      <w:r>
        <w:br/>
      </w:r>
      <w:r>
        <w:rPr>
          <w:rStyle w:val="VerbatimChar"/>
        </w:rPr>
        <w:t xml:space="preserve">   │</w:t>
      </w:r>
      <w:r>
        <w:br/>
      </w:r>
      <w:r>
        <w:rPr>
          <w:rStyle w:val="VerbatimChar"/>
        </w:rPr>
        <w:t xml:space="preserve">   ▼</w:t>
      </w:r>
      <w:r>
        <w:br/>
      </w:r>
      <w:r>
        <w:rPr>
          <w:rStyle w:val="VerbatimChar"/>
        </w:rPr>
        <w:t xml:space="preserve">[5] Cause Analysis (Level I and repeated Level II must be thoroughly analyzed)</w:t>
      </w:r>
      <w:r>
        <w:br/>
      </w:r>
      <w:r>
        <w:rPr>
          <w:rStyle w:val="VerbatimChar"/>
        </w:rPr>
        <w:t xml:space="preserve">     · Use 5Why to trace to the system and management level, identifying the root causes of occurrence and flow-out</w:t>
      </w:r>
      <w:r>
        <w:br/>
      </w:r>
      <w:r>
        <w:rPr>
          <w:rStyle w:val="VerbatimChar"/>
        </w:rPr>
        <w:t xml:space="preserve">     · Level I complaints are expanded in 8D format, and responsible departments submit interim reports</w:t>
      </w:r>
      <w:r>
        <w:br/>
      </w:r>
      <w:r>
        <w:rPr>
          <w:rStyle w:val="VerbatimChar"/>
        </w:rPr>
        <w:t xml:space="preserve">   │</w:t>
      </w:r>
      <w:r>
        <w:br/>
      </w:r>
      <w:r>
        <w:rPr>
          <w:rStyle w:val="VerbatimChar"/>
        </w:rPr>
        <w:t xml:space="preserve">   ▼</w:t>
      </w:r>
      <w:r>
        <w:br/>
      </w:r>
      <w:r>
        <w:rPr>
          <w:rStyle w:val="VerbatimChar"/>
        </w:rPr>
        <w:t xml:space="preserve">[6] Formulate Corrective and Preventive Actions (Including responsible department, completion date, verification method)</w:t>
      </w:r>
      <w:r>
        <w:br/>
      </w:r>
      <w:r>
        <w:rPr>
          <w:rStyle w:val="VerbatimChar"/>
        </w:rPr>
        <w:t xml:space="preserve">   │</w:t>
      </w:r>
      <w:r>
        <w:br/>
      </w:r>
      <w:r>
        <w:rPr>
          <w:rStyle w:val="VerbatimChar"/>
        </w:rPr>
        <w:t xml:space="preserve">   ▼</w:t>
      </w:r>
      <w:r>
        <w:br/>
      </w:r>
      <w:r>
        <w:rPr>
          <w:rStyle w:val="VerbatimChar"/>
        </w:rPr>
        <w:t xml:space="preserve">[7] External Response (Drafted by Sales Department/Customer Service Department, reviewed by Quality Department, Level I approved by General Manager)</w:t>
      </w:r>
      <w:r>
        <w:br/>
      </w:r>
      <w:r>
        <w:rPr>
          <w:rStyle w:val="VerbatimChar"/>
        </w:rPr>
        <w:t xml:space="preserve">     · Response content elements: Problem confirmation, cause explanation, temporary measures, permanent measures, verification results, commitment to prevent recurrence</w:t>
      </w:r>
      <w:r>
        <w:br/>
      </w:r>
      <w:r>
        <w:rPr>
          <w:rStyle w:val="VerbatimChar"/>
        </w:rPr>
        <w:t xml:space="preserve">   │</w:t>
      </w:r>
      <w:r>
        <w:br/>
      </w:r>
      <w:r>
        <w:rPr>
          <w:rStyle w:val="VerbatimChar"/>
        </w:rPr>
        <w:t xml:space="preserve">   ▼</w:t>
      </w:r>
      <w:r>
        <w:br/>
      </w:r>
      <w:r>
        <w:rPr>
          <w:rStyle w:val="VerbatimChar"/>
        </w:rPr>
        <w:t xml:space="preserve">[8] Implementation and Effectiveness Verification of Measures (Verified by Quality Department, effective if no recurrence in 3 consecutive batches or 30 days)</w:t>
      </w:r>
      <w:r>
        <w:br/>
      </w:r>
      <w:r>
        <w:rPr>
          <w:rStyle w:val="VerbatimChar"/>
        </w:rPr>
        <w:t xml:space="preserve">   │</w:t>
      </w:r>
      <w:r>
        <w:br/>
      </w:r>
      <w:r>
        <w:rPr>
          <w:rStyle w:val="VerbatimChar"/>
        </w:rPr>
        <w:t xml:space="preserve">   ▼</w:t>
      </w:r>
      <w:r>
        <w:br/>
      </w:r>
      <w:r>
        <w:rPr>
          <w:rStyle w:val="VerbatimChar"/>
        </w:rPr>
        <w:t xml:space="preserve">[9] Customer Confirmation and Closure (Close after customer's written or email confirmation; if no response, close after 7 working days and retain records)</w:t>
      </w:r>
      <w:r>
        <w:br/>
      </w:r>
      <w:r>
        <w:rPr>
          <w:rStyle w:val="VerbatimChar"/>
        </w:rPr>
        <w:t xml:space="preserve">   │</w:t>
      </w:r>
      <w:r>
        <w:br/>
      </w:r>
      <w:r>
        <w:rPr>
          <w:rStyle w:val="VerbatimChar"/>
        </w:rPr>
        <w:t xml:space="preserve">   ▼</w:t>
      </w:r>
      <w:r>
        <w:br/>
      </w:r>
      <w:r>
        <w:rPr>
          <w:rStyle w:val="VerbatimChar"/>
        </w:rPr>
        <w:t xml:space="preserve">[10] Data Statistics and Improvement (Monthly summary, included in management review and satisfaction analysis)</w:t>
      </w:r>
    </w:p>
    <w:p>
      <w:pPr>
        <w:pStyle w:val="Heading3"/>
      </w:pPr>
      <w:bookmarkStart w:id="28" w:name="X24bc7a7848a3156a0ba2e18c1fb45590d0799b8"/>
      <w:r>
        <w:t xml:space="preserve">4.4 Requirements for Temporary Containment Measures</w:t>
      </w:r>
      <w:bookmarkEnd w:id="28"/>
    </w:p>
    <w:p>
      <w:pPr>
        <w:pStyle w:val="FirstParagraph"/>
      </w:pPr>
      <w:r>
        <w:t xml:space="preserve">4.4.1 The goal of temporary containment measures is to</w:t>
      </w:r>
      <w:r>
        <w:t xml:space="preserve"> </w:t>
      </w:r>
      <w:r>
        <w:t xml:space="preserve">“</w:t>
      </w:r>
      <w:r>
        <w:t xml:space="preserve">prevent further harm to the customer before the cause is identified,</w:t>
      </w:r>
      <w:r>
        <w:t xml:space="preserve">”</w:t>
      </w:r>
      <w:r>
        <w:t xml:space="preserve"> </w:t>
      </w:r>
      <w:r>
        <w:t xml:space="preserve">and delays should not be justified by</w:t>
      </w:r>
      <w:r>
        <w:t xml:space="preserve"> </w:t>
      </w:r>
      <w:r>
        <w:t xml:space="preserve">“</w:t>
      </w:r>
      <w:r>
        <w:t xml:space="preserve">cause not yet identified.</w:t>
      </w:r>
      <w:r>
        <w:t xml:space="preserve">”</w:t>
      </w:r>
      <w:r>
        <w:t xml:space="preserve"> </w:t>
      </w:r>
      <w:r>
        <w:t xml:space="preserve">Common measures include: notifying the customer to pause use, providing sorting standards, sending personnel for on-site full inspection, exchanging products in advance, tightening outgoing inspection, and increasing 100% inspection of key dimensions.</w:t>
      </w:r>
    </w:p>
    <w:p>
      <w:pPr>
        <w:pStyle w:val="BodyText"/>
      </w:pPr>
      <w:r>
        <w:t xml:space="preserve">4.4.2 Temporary measures must be clear: content of the measure, responsible person and contact information, coverage (batch, quantity, customer site, and in-transit inventory), completion time, and method of result feedback.</w:t>
      </w:r>
    </w:p>
    <w:p>
      <w:pPr>
        <w:pStyle w:val="BodyText"/>
      </w:pPr>
      <w:r>
        <w:t xml:space="preserve">4.4.3 After execution, the results data (number of items investigated, number of nonconformities found, disposition method) must be filled back in, and the Quality Department must confirm the closed loop.</w:t>
      </w:r>
    </w:p>
    <w:p>
      <w:pPr>
        <w:pStyle w:val="Heading3"/>
      </w:pPr>
      <w:bookmarkStart w:id="29" w:name="X8e5933eac7d034f66087b84c1a5ce4b4434430e"/>
      <w:r>
        <w:t xml:space="preserve">4.5 Cause Analysis and Responsibility Determination</w:t>
      </w:r>
      <w:bookmarkEnd w:id="29"/>
    </w:p>
    <w:p>
      <w:pPr>
        <w:pStyle w:val="FirstParagraph"/>
      </w:pPr>
      <w:r>
        <w:t xml:space="preserve">4.5.1 Cause analysis should be conducted from three directions, all of which are essential:</w:t>
      </w:r>
    </w:p>
    <w:p>
      <w:pPr>
        <w:numPr>
          <w:ilvl w:val="0"/>
          <w:numId w:val="1003"/>
        </w:numPr>
        <w:pStyle w:val="Compact"/>
      </w:pPr>
      <w:r>
        <w:rPr>
          <w:b/>
        </w:rPr>
        <w:t xml:space="preserve">Occurrence Cause</w:t>
      </w:r>
      <w:r>
        <w:t xml:space="preserve">: Why the nonconformity was produced (people, machines, materials, methods, environment, measurement).</w:t>
      </w:r>
    </w:p>
    <w:p>
      <w:pPr>
        <w:numPr>
          <w:ilvl w:val="0"/>
          <w:numId w:val="1003"/>
        </w:numPr>
        <w:pStyle w:val="Compact"/>
      </w:pPr>
      <w:r>
        <w:rPr>
          <w:b/>
        </w:rPr>
        <w:t xml:space="preserve">Flow-out Cause</w:t>
      </w:r>
      <w:r>
        <w:t xml:space="preserve">: Why it was not intercepted internally (inspection methods, sampling plans, judgment criteria, release control).</w:t>
      </w:r>
    </w:p>
    <w:p>
      <w:pPr>
        <w:numPr>
          <w:ilvl w:val="0"/>
          <w:numId w:val="1003"/>
        </w:numPr>
        <w:pStyle w:val="Compact"/>
      </w:pPr>
      <w:r>
        <w:rPr>
          <w:b/>
        </w:rPr>
        <w:t xml:space="preserve">Management Cause</w:t>
      </w:r>
      <w:r>
        <w:t xml:space="preserve">: Why the above two causes have persisted (whether standards are clear, whether training is adequate, whether changes are controlled, whether supervision is effective).</w:t>
      </w:r>
    </w:p>
    <w:p>
      <w:pPr>
        <w:pStyle w:val="FirstParagraph"/>
      </w:pPr>
      <w:r>
        <w:t xml:space="preserve">4.5.2 Responsibility determination should be based on objective evidence (original records, test data, drawing versions, work instruction versions), not on departmental power or personal relationships. The responsible department should sign and confirm on the</w:t>
      </w:r>
      <w:r>
        <w:t xml:space="preserve"> </w:t>
      </w:r>
      <w:r>
        <w:t xml:space="preserve">“</w:t>
      </w:r>
      <w:r>
        <w:t xml:space="preserve">Customer Complaint Handling Form,</w:t>
      </w:r>
      <w:r>
        <w:t xml:space="preserve">”</w:t>
      </w:r>
      <w:r>
        <w:t xml:space="preserve"> </w:t>
      </w:r>
      <w:r>
        <w:t xml:space="preserve">and any disputes should be ruled by the Management Representative.</w:t>
      </w:r>
    </w:p>
    <w:p>
      <w:pPr>
        <w:pStyle w:val="BodyText"/>
      </w:pPr>
      <w:r>
        <w:t xml:space="preserve">4.5.3 If the issue involves external providers, the Quality Department should issue a</w:t>
      </w:r>
      <w:r>
        <w:t xml:space="preserve"> </w:t>
      </w:r>
      <w:r>
        <w:t xml:space="preserve">“</w:t>
      </w:r>
      <w:r>
        <w:t xml:space="preserve">Supplier Improvement Notice</w:t>
      </w:r>
      <w:r>
        <w:t xml:space="preserve">”</w:t>
      </w:r>
      <w:r>
        <w:t xml:space="preserve"> </w:t>
      </w:r>
      <w:r>
        <w:t xml:space="preserve">to the supplier within 3 working days, requesting cause analysis and measures, and deduct performance points according to the</w:t>
      </w:r>
      <w:r>
        <w:t xml:space="preserve"> </w:t>
      </w:r>
      <w:r>
        <w:t xml:space="preserve">“</w:t>
      </w:r>
      <w:r>
        <w:t xml:space="preserve">Supplier Admission and Performance Evaluation Work Instruction</w:t>
      </w:r>
      <w:r>
        <w:t xml:space="preserve">”</w:t>
      </w:r>
      <w:r>
        <w:t xml:space="preserve"> </w:t>
      </w:r>
      <w:r>
        <w:t xml:space="preserve">(WI-QA-40).</w:t>
      </w:r>
    </w:p>
    <w:p>
      <w:pPr>
        <w:pStyle w:val="Heading3"/>
      </w:pPr>
      <w:bookmarkStart w:id="30" w:name="requirements-for-external-responses"/>
      <w:r>
        <w:t xml:space="preserve">4.6 Requirements for External Responses</w:t>
      </w:r>
      <w:bookmarkEnd w:id="30"/>
    </w:p>
    <w:p>
      <w:pPr>
        <w:pStyle w:val="FirstParagraph"/>
      </w:pPr>
      <w:r>
        <w:t xml:space="preserve">4.6.1 External responses should be uniformly issued by the Sales Department/Customer Service Department; other departments and individuals should not directly respond to customers with handling conclusions.</w:t>
      </w:r>
    </w:p>
    <w:p>
      <w:pPr>
        <w:pStyle w:val="BodyText"/>
      </w:pPr>
      <w:r>
        <w:t xml:space="preserve">4.6.2 Response timing: For Level I complaints, provide a written response with temporary measures and next steps within 24 hours, and a formal response after the cause and permanent measures are identified. For Level II complaints, provide a written response within 3 working days. For Level III complaints, provide a handling opinion within 3 working days.</w:t>
      </w:r>
    </w:p>
    <w:p>
      <w:pPr>
        <w:pStyle w:val="BodyText"/>
      </w:pPr>
      <w:r>
        <w:t xml:space="preserve">4.6.3 Response content should not include unverified cause assumptions, should not blame the customer for improper use (unless there is conclusive evidence), and should not exaggerate the effectiveness of measures. Any business content involving compensation, returns, or price reductions must be internally approved before the response is sent.</w:t>
      </w:r>
    </w:p>
    <w:p>
      <w:pPr>
        <w:pStyle w:val="BodyText"/>
      </w:pPr>
      <w:r>
        <w:t xml:space="preserve">4.6.4 If the customer requests a specific report format (8D, 5C, CAPA, SCAR, etc.), follow their requirements. If no format is specified, use the company’s</w:t>
      </w:r>
      <w:r>
        <w:t xml:space="preserve"> </w:t>
      </w:r>
      <w:r>
        <w:t xml:space="preserve">“</w:t>
      </w:r>
      <w:r>
        <w:t xml:space="preserve">Customer Complaint Handling Form</w:t>
      </w:r>
      <w:r>
        <w:t xml:space="preserve">”</w:t>
      </w:r>
      <w:r>
        <w:t xml:space="preserve"> </w:t>
      </w:r>
      <w:r>
        <w:t xml:space="preserve">(QR-41-02) format.</w:t>
      </w:r>
    </w:p>
    <w:p>
      <w:pPr>
        <w:pStyle w:val="Heading3"/>
      </w:pPr>
      <w:bookmarkStart w:id="31" w:name="verification-and-closure"/>
      <w:r>
        <w:t xml:space="preserve">4.7 Verification and Closure</w:t>
      </w:r>
      <w:bookmarkEnd w:id="31"/>
    </w:p>
    <w:p>
      <w:pPr>
        <w:pStyle w:val="FirstParagraph"/>
      </w:pPr>
      <w:r>
        <w:t xml:space="preserve">4.7.1 After the implementation of corrective actions, the Quality Department should verify their effectiveness: based on the inspection data of 3 consecutive batches or 30 days of operation without recurrence, and retain verification records.</w:t>
      </w:r>
    </w:p>
    <w:p>
      <w:pPr>
        <w:pStyle w:val="BodyText"/>
      </w:pPr>
      <w:r>
        <w:t xml:space="preserve">4.7.2 After verification, notify the customer of the closure and request confirmation. Close the complaint and archive it after the customer confirms (in writing, email, or instant message screenshot).</w:t>
      </w:r>
    </w:p>
    <w:p>
      <w:pPr>
        <w:pStyle w:val="BodyText"/>
      </w:pPr>
      <w:r>
        <w:t xml:space="preserve">4.7.3 If verification is ineffective, return to section 4.5 for re-analysis, extend the closure timeline, and escalate to the Management Representative. Do not force closure based on</w:t>
      </w:r>
      <w:r>
        <w:t xml:space="preserve"> </w:t>
      </w:r>
      <w:r>
        <w:t xml:space="preserve">“</w:t>
      </w:r>
      <w:r>
        <w:t xml:space="preserve">measures have been implemented.</w:t>
      </w:r>
      <w:r>
        <w:t xml:space="preserve">”</w:t>
      </w:r>
    </w:p>
    <w:p>
      <w:pPr>
        <w:pStyle w:val="BodyText"/>
      </w:pPr>
      <w:r>
        <w:t xml:space="preserve">4.7.4 For complaints not closed on time, the Management Representative should review each one at the weekly quality meeting. For complaints not closed within 30 days, report to the General Manager for handling.</w:t>
      </w:r>
    </w:p>
    <w:p>
      <w:pPr>
        <w:pStyle w:val="Heading3"/>
      </w:pPr>
      <w:bookmarkStart w:id="32" w:name="statistical-analysis-and-improvement"/>
      <w:r>
        <w:t xml:space="preserve">4.8 Statistical Analysis and Improvement</w:t>
      </w:r>
      <w:bookmarkEnd w:id="32"/>
    </w:p>
    <w:p>
      <w:pPr>
        <w:pStyle w:val="FirstParagraph"/>
      </w:pPr>
      <w:r>
        <w:t xml:space="preserve">4.8.1 The Quality Department should compile the</w:t>
      </w:r>
      <w:r>
        <w:t xml:space="preserve"> </w:t>
      </w:r>
      <w:r>
        <w:t xml:space="preserve">“</w:t>
      </w:r>
      <w:r>
        <w:t xml:space="preserve">Monthly Customer Complaint Statistical Analysis Form</w:t>
      </w:r>
      <w:r>
        <w:t xml:space="preserve">”</w:t>
      </w:r>
      <w:r>
        <w:t xml:space="preserve"> </w:t>
      </w:r>
      <w:r>
        <w:t xml:space="preserve">(QR-41-04) by the 5th of each month, including dimensions such as total complaints and distribution by level, distribution by customer, distribution by product line and batch, distribution by failure mode, response timeliness, on-time closure rate, overdue list, and repeated complaint list.</w:t>
      </w:r>
    </w:p>
    <w:p>
      <w:pPr>
        <w:pStyle w:val="BodyText"/>
      </w:pPr>
      <w:r>
        <w:t xml:space="preserve">4.8.2 Use a Pareto chart to identify the top three problem types, which should be used as input for the month’s quality improvement and next month’s audit focus. Problems accounting for a cumulative 80% should have at least one improvement project initiated.</w:t>
      </w:r>
    </w:p>
    <w:p>
      <w:pPr>
        <w:pStyle w:val="BodyText"/>
      </w:pPr>
      <w:r>
        <w:t xml:space="preserve">4.8.3 The complaint handling rate and customer satisfaction should be included in the monthly quality target assessment, and the results should be linked to departmental performance according to the</w:t>
      </w:r>
      <w:r>
        <w:t xml:space="preserve"> </w:t>
      </w:r>
      <w:r>
        <w:t xml:space="preserve">“</w:t>
      </w:r>
      <w:r>
        <w:t xml:space="preserve">Procedure for Quality Policy and Quality Objectives Management</w:t>
      </w:r>
      <w:r>
        <w:t xml:space="preserve">”</w:t>
      </w:r>
      <w:r>
        <w:t xml:space="preserve"> </w:t>
      </w:r>
      <w:r>
        <w:t xml:space="preserve">(QP-07).</w:t>
      </w:r>
    </w:p>
    <w:p>
      <w:pPr>
        <w:pStyle w:val="BodyText"/>
      </w:pPr>
      <w:r>
        <w:t xml:space="preserve">4.8.4 Complaint information should be submitted as input for management reviews (9.3.2), including complaint trends, handling results of major complaints, recurring issues, and improvement suggestions.</w:t>
      </w:r>
    </w:p>
    <w:p>
      <w:pPr>
        <w:pStyle w:val="Heading3"/>
      </w:pPr>
      <w:bookmarkStart w:id="33" w:name="record-management"/>
      <w:r>
        <w:t xml:space="preserve">4.9 Record Management</w:t>
      </w:r>
      <w:bookmarkEnd w:id="33"/>
    </w:p>
    <w:p>
      <w:pPr>
        <w:pStyle w:val="FirstParagraph"/>
      </w:pPr>
      <w:r>
        <w:t xml:space="preserve">4.9.1 All records of the complaint handling process (registration forms, handling forms, communication records, verification records, customer confirmations) should be archived by complaint number, with both paper and electronic versions. Electronic records should be stored in a controlled directory with read-only permissions.</w:t>
      </w:r>
    </w:p>
    <w:p>
      <w:pPr>
        <w:pStyle w:val="BodyText"/>
      </w:pPr>
      <w:r>
        <w:t xml:space="preserve">4.9.2 The retention period should be at least 3 years; for issues involving safety characteristics, regulatory requirements, or longer retention periods specified by customer contracts, follow the contract requirements (generally not less than the product life cycle or contract-specified years).</w:t>
      </w:r>
    </w:p>
    <w:p>
      <w:pPr>
        <w:pStyle w:val="BodyText"/>
      </w:pPr>
      <w:r>
        <w:t xml:space="preserve">4.9.3 The customer’s original statements, original photos, and test data should not be modified or overwritten; if corrections are necessary, they should be made by striking through the original and signing with the date noted.</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Responsible Person</w:t>
            </w:r>
          </w:p>
        </w:tc>
        <w:tc>
          <w:tcPr>
            <w:tcBorders>
              <w:bottom w:val="single"/>
            </w:tcBorders>
            <w:vAlign w:val="bottom"/>
          </w:tcPr>
          <w:p>
            <w:pPr>
              <w:pStyle w:val="Compact"/>
              <w:jc w:val="left"/>
            </w:pPr>
            <w:r>
              <w:t xml:space="preserve">Retention Period</w:t>
            </w:r>
          </w:p>
        </w:tc>
      </w:tr>
      <w:tr>
        <w:tc>
          <w:p>
            <w:pPr>
              <w:pStyle w:val="Compact"/>
              <w:jc w:val="left"/>
            </w:pPr>
            <w:r>
              <w:t xml:space="preserve">Customer Complaint Registration Form</w:t>
            </w:r>
          </w:p>
        </w:tc>
        <w:tc>
          <w:p>
            <w:pPr>
              <w:pStyle w:val="Compact"/>
              <w:jc w:val="left"/>
            </w:pPr>
            <w:r>
              <w:t xml:space="preserve">QR-41-01</w:t>
            </w:r>
          </w:p>
        </w:tc>
        <w:tc>
          <w:p>
            <w:pPr>
              <w:pStyle w:val="Compact"/>
              <w:jc w:val="left"/>
            </w:pPr>
            <w:r>
              <w:t xml:space="preserve">Sales Department/Customer Service Department recipient</w:t>
            </w:r>
          </w:p>
        </w:tc>
        <w:tc>
          <w:p>
            <w:pPr>
              <w:pStyle w:val="Compact"/>
              <w:jc w:val="left"/>
            </w:pPr>
            <w:r>
              <w:t xml:space="preserve">3 years</w:t>
            </w:r>
          </w:p>
        </w:tc>
      </w:tr>
      <w:tr>
        <w:tc>
          <w:p>
            <w:pPr>
              <w:pStyle w:val="Compact"/>
              <w:jc w:val="left"/>
            </w:pPr>
            <w:r>
              <w:t xml:space="preserve">Customer Complaint Handling Form</w:t>
            </w:r>
          </w:p>
        </w:tc>
        <w:tc>
          <w:p>
            <w:pPr>
              <w:pStyle w:val="Compact"/>
              <w:jc w:val="left"/>
            </w:pPr>
            <w:r>
              <w:t xml:space="preserve">QR-41-02</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Supplier Improvement Notice</w:t>
            </w:r>
          </w:p>
        </w:tc>
        <w:tc>
          <w:p>
            <w:pPr>
              <w:pStyle w:val="Compact"/>
              <w:jc w:val="left"/>
            </w:pPr>
            <w:r>
              <w:t xml:space="preserve">QR-41-03</w:t>
            </w:r>
          </w:p>
        </w:tc>
        <w:tc>
          <w:p>
            <w:pPr>
              <w:pStyle w:val="Compact"/>
              <w:jc w:val="left"/>
            </w:pPr>
            <w:r>
              <w:t xml:space="preserve">Purchasing Department</w:t>
            </w:r>
          </w:p>
        </w:tc>
        <w:tc>
          <w:p>
            <w:pPr>
              <w:pStyle w:val="Compact"/>
              <w:jc w:val="left"/>
            </w:pPr>
            <w:r>
              <w:t xml:space="preserve">3 years</w:t>
            </w:r>
          </w:p>
        </w:tc>
      </w:tr>
      <w:tr>
        <w:tc>
          <w:p>
            <w:pPr>
              <w:pStyle w:val="Compact"/>
              <w:jc w:val="left"/>
            </w:pPr>
            <w:r>
              <w:t xml:space="preserve">Monthly Customer Complaint Statistical Analysis Form</w:t>
            </w:r>
          </w:p>
        </w:tc>
        <w:tc>
          <w:p>
            <w:pPr>
              <w:pStyle w:val="Compact"/>
              <w:jc w:val="left"/>
            </w:pPr>
            <w:r>
              <w:t xml:space="preserve">QR-41-04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Customer Communication Record Form</w:t>
            </w:r>
          </w:p>
        </w:tc>
        <w:tc>
          <w:p>
            <w:pPr>
              <w:pStyle w:val="Compact"/>
              <w:jc w:val="left"/>
            </w:pPr>
            <w:r>
              <w:t xml:space="preserve">QR-41-05</w:t>
            </w:r>
          </w:p>
        </w:tc>
        <w:tc>
          <w:p>
            <w:pPr>
              <w:pStyle w:val="Compact"/>
              <w:jc w:val="left"/>
            </w:pPr>
            <w:r>
              <w:t xml:space="preserve">Sales Department/Customer Service Department</w:t>
            </w:r>
          </w:p>
        </w:tc>
        <w:tc>
          <w:p>
            <w:pPr>
              <w:pStyle w:val="Compact"/>
              <w:jc w:val="left"/>
            </w:pPr>
            <w:r>
              <w:t xml:space="preserve">3 years</w:t>
            </w:r>
          </w:p>
        </w:tc>
      </w:tr>
      <w:tr>
        <w:tc>
          <w:p>
            <w:pPr>
              <w:pStyle w:val="Compact"/>
              <w:jc w:val="left"/>
            </w:pPr>
            <w:r>
              <w:t xml:space="preserve">Corrective Action Verification Record</w:t>
            </w:r>
          </w:p>
        </w:tc>
        <w:tc>
          <w:p>
            <w:pPr>
              <w:pStyle w:val="Compact"/>
              <w:jc w:val="left"/>
            </w:pPr>
            <w:r>
              <w:t xml:space="preserve">QR-41-06</w:t>
            </w:r>
          </w:p>
        </w:tc>
        <w:tc>
          <w:p>
            <w:pPr>
              <w:pStyle w:val="Compact"/>
              <w:jc w:val="left"/>
            </w:pPr>
            <w:r>
              <w:t xml:space="preserve">Quality Department</w:t>
            </w:r>
          </w:p>
        </w:tc>
        <w:tc>
          <w:p>
            <w:pPr>
              <w:pStyle w:val="Compact"/>
              <w:jc w:val="left"/>
            </w:pPr>
            <w:r>
              <w:t xml:space="preserve">3 years</w:t>
            </w:r>
          </w:p>
        </w:tc>
      </w:tr>
    </w:tbl>
    <w:p>
      <w:pPr>
        <w:pStyle w:val="BodyText"/>
      </w:pPr>
      <w:r>
        <w:rPr>
          <w:b/>
        </w:rPr>
        <w:t xml:space="preserve">Appendix: Core Form Field List</w:t>
      </w:r>
    </w:p>
    <w:p>
      <w:pPr>
        <w:pStyle w:val="BodyText"/>
      </w:pPr>
      <w:r>
        <w:rPr>
          <w:b/>
        </w:rPr>
        <w:t xml:space="preserve">QR-41-01</w:t>
      </w:r>
      <w:r>
        <w:rPr>
          <w:b/>
        </w:rPr>
        <w:t xml:space="preserve"> </w:t>
      </w:r>
      <w:r>
        <w:rPr>
          <w:b/>
        </w:rPr>
        <w:t xml:space="preserve">“</w:t>
      </w:r>
      <w:r>
        <w:rPr>
          <w:b/>
        </w:rPr>
        <w:t xml:space="preserve">Customer Complaint Registration Form</w:t>
      </w:r>
      <w:r>
        <w:rPr>
          <w:b/>
        </w:rPr>
        <w:t xml:space="preserve">”</w:t>
      </w:r>
      <w:r>
        <w:t xml:space="preserve">: Complaint number, customer name, customer contact person and method, submission date, channel, complainant identity, product name/model, batch number involved, delivery date, delivery quantity, nonconforming quantity and ratio, problem description (customer’s original words), list of accompanying evidence (photos/physical items/reports), customer expectations, recipient, receipt time, grading (I/II/III), grading determiner, associated order number, remarks.</w:t>
      </w:r>
    </w:p>
    <w:p>
      <w:pPr>
        <w:pStyle w:val="BodyText"/>
      </w:pPr>
      <w:r>
        <w:rPr>
          <w:i/>
        </w:rPr>
        <w:t xml:space="preserve">Example of Filling:</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Complaint Number</w:t>
            </w:r>
          </w:p>
        </w:tc>
        <w:tc>
          <w:tcPr>
            <w:tcBorders>
              <w:bottom w:val="single"/>
            </w:tcBorders>
            <w:vAlign w:val="bottom"/>
          </w:tcPr>
          <w:p>
            <w:pPr>
              <w:pStyle w:val="Compact"/>
              <w:jc w:val="left"/>
            </w:pPr>
            <w:r>
              <w:t xml:space="preserve">Customer Name</w:t>
            </w:r>
          </w:p>
        </w:tc>
        <w:tc>
          <w:tcPr>
            <w:tcBorders>
              <w:bottom w:val="single"/>
            </w:tcBorders>
            <w:vAlign w:val="bottom"/>
          </w:tcPr>
          <w:p>
            <w:pPr>
              <w:pStyle w:val="Compact"/>
              <w:jc w:val="left"/>
            </w:pPr>
            <w:r>
              <w:t xml:space="preserve">Submission Date</w:t>
            </w:r>
          </w:p>
        </w:tc>
        <w:tc>
          <w:tcPr>
            <w:tcBorders>
              <w:bottom w:val="single"/>
            </w:tcBorders>
            <w:vAlign w:val="bottom"/>
          </w:tcPr>
          <w:p>
            <w:pPr>
              <w:pStyle w:val="Compact"/>
              <w:jc w:val="left"/>
            </w:pPr>
            <w:r>
              <w:t xml:space="preserve">Channel</w:t>
            </w:r>
          </w:p>
        </w:tc>
        <w:tc>
          <w:tcPr>
            <w:tcBorders>
              <w:bottom w:val="single"/>
            </w:tcBorders>
            <w:vAlign w:val="bottom"/>
          </w:tcPr>
          <w:p>
            <w:pPr>
              <w:pStyle w:val="Compact"/>
              <w:jc w:val="left"/>
            </w:pPr>
            <w:r>
              <w:t xml:space="preserve">Product/Model</w:t>
            </w:r>
          </w:p>
        </w:tc>
        <w:tc>
          <w:tcPr>
            <w:tcBorders>
              <w:bottom w:val="single"/>
            </w:tcBorders>
            <w:vAlign w:val="bottom"/>
          </w:tcPr>
          <w:p>
            <w:pPr>
              <w:pStyle w:val="Compact"/>
              <w:jc w:val="left"/>
            </w:pPr>
            <w:r>
              <w:t xml:space="preserve">Batch Number</w:t>
            </w:r>
          </w:p>
        </w:tc>
        <w:tc>
          <w:tcPr>
            <w:tcBorders>
              <w:bottom w:val="single"/>
            </w:tcBorders>
            <w:vAlign w:val="bottom"/>
          </w:tcPr>
          <w:p>
            <w:pPr>
              <w:pStyle w:val="Compact"/>
              <w:jc w:val="left"/>
            </w:pPr>
            <w:r>
              <w:t xml:space="preserve">Nonconforming Quantity/Ratio</w:t>
            </w:r>
          </w:p>
        </w:tc>
        <w:tc>
          <w:tcPr>
            <w:tcBorders>
              <w:bottom w:val="single"/>
            </w:tcBorders>
            <w:vAlign w:val="bottom"/>
          </w:tcPr>
          <w:p>
            <w:pPr>
              <w:pStyle w:val="Compact"/>
              <w:jc w:val="left"/>
            </w:pPr>
            <w:r>
              <w:t xml:space="preserve">Customer Expectations</w:t>
            </w:r>
          </w:p>
        </w:tc>
        <w:tc>
          <w:tcPr>
            <w:tcBorders>
              <w:bottom w:val="single"/>
            </w:tcBorders>
            <w:vAlign w:val="bottom"/>
          </w:tcPr>
          <w:p>
            <w:pPr>
              <w:pStyle w:val="Compact"/>
              <w:jc w:val="left"/>
            </w:pPr>
            <w:r>
              <w:t xml:space="preserve">Grading</w:t>
            </w:r>
          </w:p>
        </w:tc>
      </w:tr>
      <w:tr>
        <w:tc>
          <w:p>
            <w:pPr>
              <w:pStyle w:val="Compact"/>
              <w:jc w:val="left"/>
            </w:pPr>
            <w:r>
              <w:t xml:space="preserve">TS-2026-018</w:t>
            </w:r>
          </w:p>
        </w:tc>
        <w:tc>
          <w:p>
            <w:pPr>
              <w:pStyle w:val="Compact"/>
              <w:jc w:val="left"/>
            </w:pPr>
            <w:r>
              <w:t xml:space="preserve">A Certain Automotive Parts Customer</w:t>
            </w:r>
          </w:p>
        </w:tc>
        <w:tc>
          <w:p>
            <w:pPr>
              <w:pStyle w:val="Compact"/>
              <w:jc w:val="left"/>
            </w:pPr>
            <w:r>
              <w:t xml:space="preserve">2026-09-08</w:t>
            </w:r>
          </w:p>
        </w:tc>
        <w:tc>
          <w:p>
            <w:pPr>
              <w:pStyle w:val="Compact"/>
              <w:jc w:val="left"/>
            </w:pPr>
            <w:r>
              <w:t xml:space="preserve">Customer SQE Email</w:t>
            </w:r>
          </w:p>
        </w:tc>
        <w:tc>
          <w:p>
            <w:pPr>
              <w:pStyle w:val="Compact"/>
              <w:jc w:val="left"/>
            </w:pPr>
            <w:r>
              <w:t xml:space="preserve">Bracket A2</w:t>
            </w:r>
          </w:p>
        </w:tc>
        <w:tc>
          <w:p>
            <w:pPr>
              <w:pStyle w:val="Compact"/>
              <w:jc w:val="left"/>
            </w:pPr>
            <w:r>
              <w:t xml:space="preserve">260825-03</w:t>
            </w:r>
          </w:p>
        </w:tc>
        <w:tc>
          <w:p>
            <w:pPr>
              <w:pStyle w:val="Compact"/>
              <w:jc w:val="left"/>
            </w:pPr>
            <w:r>
              <w:t xml:space="preserve">12 pieces / 2.4%</w:t>
            </w:r>
          </w:p>
        </w:tc>
        <w:tc>
          <w:p>
            <w:pPr>
              <w:pStyle w:val="Compact"/>
              <w:jc w:val="left"/>
            </w:pPr>
            <w:r>
              <w:t xml:space="preserve">Provide 8D report and exchange</w:t>
            </w:r>
          </w:p>
        </w:tc>
        <w:tc>
          <w:p>
            <w:pPr>
              <w:pStyle w:val="Compact"/>
              <w:jc w:val="left"/>
            </w:pPr>
            <w:r>
              <w:t xml:space="preserve">Level II</w:t>
            </w:r>
          </w:p>
        </w:tc>
      </w:tr>
    </w:tbl>
    <w:p>
      <w:pPr>
        <w:pStyle w:val="BodyText"/>
      </w:pPr>
      <w:r>
        <w:rPr>
          <w:b/>
        </w:rPr>
        <w:t xml:space="preserve">QR-41-02</w:t>
      </w:r>
      <w:r>
        <w:rPr>
          <w:b/>
        </w:rPr>
        <w:t xml:space="preserve"> </w:t>
      </w:r>
      <w:r>
        <w:rPr>
          <w:b/>
        </w:rPr>
        <w:t xml:space="preserve">“</w:t>
      </w:r>
      <w:r>
        <w:rPr>
          <w:b/>
        </w:rPr>
        <w:t xml:space="preserve">Customer Complaint Handling Form</w:t>
      </w:r>
      <w:r>
        <w:rPr>
          <w:b/>
        </w:rPr>
        <w:t xml:space="preserve">”</w:t>
      </w:r>
      <w:r>
        <w:t xml:space="preserve">: Complaint number, fact verification conclusion (reproduction status, impact scope, involved inventory), temporary containment measures and execution results, occurrence cause, flow-out cause, management cause, corrective actions (content, responsible person, completion date), preventive actions, external response content and date, verification method and results, customer confirmation status, closure date, closure approval.</w:t>
      </w:r>
    </w:p>
    <w:p>
      <w:pPr>
        <w:pStyle w:val="BodyText"/>
      </w:pPr>
      <w:r>
        <w:rPr>
          <w:b/>
        </w:rPr>
        <w:t xml:space="preserve">QR-41-04</w:t>
      </w:r>
      <w:r>
        <w:rPr>
          <w:b/>
        </w:rPr>
        <w:t xml:space="preserve"> </w:t>
      </w:r>
      <w:r>
        <w:rPr>
          <w:b/>
        </w:rPr>
        <w:t xml:space="preserve">“</w:t>
      </w:r>
      <w:r>
        <w:rPr>
          <w:b/>
        </w:rPr>
        <w:t xml:space="preserve">Monthly Customer Complaint Statistical Analysis Form</w:t>
      </w:r>
      <w:r>
        <w:rPr>
          <w:b/>
        </w:rPr>
        <w:t xml:space="preserve">”</w:t>
      </w:r>
      <w:r>
        <w:t xml:space="preserve">: Statistical month, total complaints, number of each level, response timeliness rate, on-time closure rate, number of overdue complaints, number of repeated complaints, distribution by customer, distribution by product, distribution by failure mode, top 3 problems and their ratios, improvement projects initiated this month, verification results of last month’s improvement projects, preparer, approver.</w:t>
      </w:r>
    </w:p>
    <w:p>
      <w:pPr>
        <w:pStyle w:val="Heading2"/>
      </w:pPr>
      <w:bookmarkStart w:id="35" w:name="related-documents"/>
      <w:r>
        <w:t xml:space="preserve">6. Related Documents</w:t>
      </w:r>
      <w:bookmarkEnd w:id="35"/>
    </w:p>
    <w:p>
      <w:pPr>
        <w:pStyle w:val="FirstParagraph"/>
      </w:pPr>
      <w:r>
        <w:t xml:space="preserve">6.1</w:t>
      </w:r>
      <w:r>
        <w:t xml:space="preserve"> </w:t>
      </w:r>
      <w:r>
        <w:t xml:space="preserve">“</w:t>
      </w:r>
      <w:r>
        <w:t xml:space="preserve">Procedure for Monitoring and Measuring Customer Satisfaction</w:t>
      </w:r>
      <w:r>
        <w:t xml:space="preserve">”</w:t>
      </w:r>
      <w:r>
        <w:t xml:space="preserve"> </w:t>
      </w:r>
      <w:r>
        <w:t xml:space="preserve">(QP-23)</w:t>
      </w:r>
      <w:r>
        <w:t xml:space="preserve"> </w:t>
      </w:r>
      <w:r>
        <w:t xml:space="preserve">6.2</w:t>
      </w:r>
      <w:r>
        <w:t xml:space="preserve"> </w:t>
      </w:r>
      <w:r>
        <w:t xml:space="preserve">“</w:t>
      </w:r>
      <w:r>
        <w:t xml:space="preserve">Procedure for Nonconformity and Corrective Action</w:t>
      </w:r>
      <w:r>
        <w:t xml:space="preserve">”</w:t>
      </w:r>
      <w:r>
        <w:t xml:space="preserve"> </w:t>
      </w:r>
      <w:r>
        <w:t xml:space="preserve">(QP-27)</w:t>
      </w:r>
      <w:r>
        <w:t xml:space="preserve"> </w:t>
      </w:r>
      <w:r>
        <w:t xml:space="preserve">6.3</w:t>
      </w:r>
      <w:r>
        <w:t xml:space="preserve"> </w:t>
      </w:r>
      <w:r>
        <w:t xml:space="preserve">“</w:t>
      </w:r>
      <w:r>
        <w:t xml:space="preserve">Nonconforming Product Control Procedure</w:t>
      </w:r>
      <w:r>
        <w:t xml:space="preserve">”</w:t>
      </w:r>
      <w:r>
        <w:t xml:space="preserve"> </w:t>
      </w:r>
      <w:r>
        <w:t xml:space="preserve">(QP-22)</w:t>
      </w:r>
      <w:r>
        <w:t xml:space="preserve"> </w:t>
      </w:r>
      <w:r>
        <w:t xml:space="preserve">6.4</w:t>
      </w:r>
      <w:r>
        <w:t xml:space="preserve"> </w:t>
      </w:r>
      <w:r>
        <w:t xml:space="preserve">“</w:t>
      </w:r>
      <w:r>
        <w:t xml:space="preserve">Procedure for Control of Processes Related to the Customer</w:t>
      </w:r>
      <w:r>
        <w:t xml:space="preserve">”</w:t>
      </w:r>
      <w:r>
        <w:t xml:space="preserve"> </w:t>
      </w:r>
      <w:r>
        <w:t xml:space="preserve">(QP-14)</w:t>
      </w:r>
      <w:r>
        <w:t xml:space="preserve"> </w:t>
      </w:r>
      <w:r>
        <w:t xml:space="preserve">6.5</w:t>
      </w:r>
      <w:r>
        <w:t xml:space="preserve"> </w:t>
      </w:r>
      <w:r>
        <w:t xml:space="preserve">“</w:t>
      </w:r>
      <w:r>
        <w:t xml:space="preserve">Customer Property Control Procedure</w:t>
      </w:r>
      <w:r>
        <w:t xml:space="preserve">”</w:t>
      </w:r>
      <w:r>
        <w:t xml:space="preserve"> </w:t>
      </w:r>
      <w:r>
        <w:t xml:space="preserve">(QP-19)</w:t>
      </w:r>
      <w:r>
        <w:t xml:space="preserve"> </w:t>
      </w:r>
      <w:r>
        <w:t xml:space="preserve">6.6</w:t>
      </w:r>
      <w:r>
        <w:t xml:space="preserve"> </w:t>
      </w:r>
      <w:r>
        <w:t xml:space="preserve">“</w:t>
      </w:r>
      <w:r>
        <w:t xml:space="preserve">Procedure for Identification and Traceability Control</w:t>
      </w:r>
      <w:r>
        <w:t xml:space="preserve">”</w:t>
      </w:r>
      <w:r>
        <w:t xml:space="preserve"> </w:t>
      </w:r>
      <w:r>
        <w:t xml:space="preserve">(QP-18)</w:t>
      </w:r>
      <w:r>
        <w:t xml:space="preserve"> </w:t>
      </w:r>
      <w:r>
        <w:t xml:space="preserve">6.7</w:t>
      </w:r>
      <w:r>
        <w:t xml:space="preserve"> </w:t>
      </w:r>
      <w:r>
        <w:t xml:space="preserve">“</w:t>
      </w:r>
      <w:r>
        <w:t xml:space="preserve">Procurement and External Provider Control Procedure</w:t>
      </w:r>
      <w:r>
        <w:t xml:space="preserve">”</w:t>
      </w:r>
      <w:r>
        <w:t xml:space="preserve"> </w:t>
      </w:r>
      <w:r>
        <w:t xml:space="preserve">(QP-16)</w:t>
      </w:r>
      <w:r>
        <w:t xml:space="preserve"> </w:t>
      </w:r>
      <w:r>
        <w:t xml:space="preserve">6.8</w:t>
      </w:r>
      <w:r>
        <w:t xml:space="preserve"> </w:t>
      </w:r>
      <w:r>
        <w:t xml:space="preserve">“</w:t>
      </w:r>
      <w:r>
        <w:t xml:space="preserve">Procedure for Data Analysis and Evaluation</w:t>
      </w:r>
      <w:r>
        <w:t xml:space="preserve">”</w:t>
      </w:r>
      <w:r>
        <w:t xml:space="preserve"> </w:t>
      </w:r>
      <w:r>
        <w:t xml:space="preserve">(QP-24)</w:t>
      </w:r>
      <w:r>
        <w:t xml:space="preserve"> </w:t>
      </w:r>
      <w:r>
        <w:t xml:space="preserve">6.9</w:t>
      </w:r>
      <w:r>
        <w:t xml:space="preserve"> </w:t>
      </w:r>
      <w:r>
        <w:t xml:space="preserve">“</w:t>
      </w:r>
      <w:r>
        <w:t xml:space="preserve">Work Instruction for Record Filling and Archiving</w:t>
      </w:r>
      <w:r>
        <w:t xml:space="preserve">”</w:t>
      </w:r>
      <w:r>
        <w:t xml:space="preserve"> </w:t>
      </w:r>
      <w:r>
        <w:t xml:space="preserve">(WI-QA-39)</w:t>
      </w:r>
      <w:r>
        <w:t xml:space="preserve"> </w:t>
      </w:r>
      <w:r>
        <w:t xml:space="preserve">6.10</w:t>
      </w:r>
      <w:r>
        <w:t xml:space="preserve"> </w:t>
      </w:r>
      <w:r>
        <w:t xml:space="preserve">“</w:t>
      </w:r>
      <w:r>
        <w:t xml:space="preserve">Work Instruction for Supplier Admission and Performance Evaluation</w:t>
      </w:r>
      <w:r>
        <w:t xml:space="preserve">”</w:t>
      </w:r>
      <w:r>
        <w:t xml:space="preserve"> </w:t>
      </w:r>
      <w:r>
        <w:t xml:space="preserve">(WI-QA-40)</w:t>
      </w:r>
    </w:p>
    <w:p>
      <w:r>
        <w:pict>
          <v:rect style="width:0;height:1.5pt" o:hralign="center" o:hrstd="t" o:hr="t"/>
        </w:pict>
      </w:r>
    </w:p>
    <w:p>
      <w:pPr>
        <w:pStyle w:val="Heading2"/>
      </w:pPr>
      <w:bookmarkStart w:id="36" w:name="usage-instructions"/>
      <w:r>
        <w:t xml:space="preserve">Usage Instructions</w:t>
      </w:r>
      <w:bookmarkEnd w:id="36"/>
    </w:p>
    <w:p>
      <w:pPr>
        <w:pStyle w:val="FirstParagraph"/>
      </w:pPr>
      <w:r>
        <w:rPr>
          <w:b/>
        </w:rPr>
        <w:t xml:space="preserve">1. Four Actions to Modify Based on Actual Enterprise Conditions</w:t>
      </w:r>
    </w:p>
    <w:p>
      <w:pPr>
        <w:numPr>
          <w:ilvl w:val="0"/>
          <w:numId w:val="1004"/>
        </w:numPr>
      </w:pPr>
      <w:r>
        <w:rPr>
          <w:b/>
        </w:rPr>
        <w:t xml:space="preserve">Adjust Timelines, Not Grading Logic</w:t>
      </w:r>
      <w:r>
        <w:t xml:space="preserve">: The response and closure timelines in section 4.2.1 are general values. For industries like automotive and medical devices, customers often have stricter requirements (e.g., 24-hour containment, 10-working-day closure). These should be confirmed in contracts or customer special requirements lists, and the timelines in the table should be replaced with the strictest values, with a note in the document stating</w:t>
      </w:r>
      <w:r>
        <w:t xml:space="preserve"> </w:t>
      </w:r>
      <w:r>
        <w:t xml:space="preserve">“</w:t>
      </w:r>
      <w:r>
        <w:t xml:space="preserve">follow customer’s stricter requirements if applicable.</w:t>
      </w:r>
      <w:r>
        <w:t xml:space="preserve">”</w:t>
      </w:r>
      <w:r>
        <w:t xml:space="preserve"> </w:t>
      </w:r>
      <w:r>
        <w:t xml:space="preserve">Conversely, for single-piece, small-batch, or custom-order enterprises, the closure timeline for Level III complaints can be extended.</w:t>
      </w:r>
    </w:p>
    <w:p>
      <w:pPr>
        <w:numPr>
          <w:ilvl w:val="0"/>
          <w:numId w:val="1004"/>
        </w:numPr>
      </w:pPr>
      <w:r>
        <w:rPr>
          <w:b/>
        </w:rPr>
        <w:t xml:space="preserve">Extend Receiving Paths by Channel</w:t>
      </w:r>
      <w:r>
        <w:t xml:space="preserve">: If the enterprise has four types of sales channels (direct sales, dealers, e-commerce, foreign trade), it is recommended to add a table of responsible persons for each channel under section 4.1, clearly defining</w:t>
      </w:r>
      <w:r>
        <w:t xml:space="preserve"> </w:t>
      </w:r>
      <w:r>
        <w:t xml:space="preserve">“</w:t>
      </w:r>
      <w:r>
        <w:t xml:space="preserve">who registers complaints relayed by dealers and who verifies the customer’s original intent.</w:t>
      </w:r>
      <w:r>
        <w:t xml:space="preserve">”</w:t>
      </w:r>
      <w:r>
        <w:t xml:space="preserve"> </w:t>
      </w:r>
      <w:r>
        <w:t xml:space="preserve">The most common issue is dealers suppressing end-user complaints, leading to inaccurate data at the factory.</w:t>
      </w:r>
    </w:p>
    <w:p>
      <w:pPr>
        <w:numPr>
          <w:ilvl w:val="0"/>
          <w:numId w:val="1004"/>
        </w:numPr>
      </w:pPr>
      <w:r>
        <w:rPr>
          <w:b/>
        </w:rPr>
        <w:t xml:space="preserve">Clarify Who Has the Authority to Commit</w:t>
      </w:r>
      <w:r>
        <w:t xml:space="preserve">: Many enterprises have disorganized complaint handling due to</w:t>
      </w:r>
      <w:r>
        <w:t xml:space="preserve"> </w:t>
      </w:r>
      <w:r>
        <w:t xml:space="preserve">“</w:t>
      </w:r>
      <w:r>
        <w:t xml:space="preserve">front-line personnel making casual commitments for compensation, exchanges, or on-site services.</w:t>
      </w:r>
      <w:r>
        <w:t xml:space="preserve">”</w:t>
      </w:r>
      <w:r>
        <w:t xml:space="preserve"> </w:t>
      </w:r>
      <w:r>
        <w:t xml:space="preserve">It is suggested to add a separate clause: the authorized amount and approver for committing to returns, exchanges, compensation, or on-site services. Any commitment exceeding the authorized amount should be internally approved before responding, to prevent verbal commitments.</w:t>
      </w:r>
    </w:p>
    <w:p>
      <w:pPr>
        <w:numPr>
          <w:ilvl w:val="0"/>
          <w:numId w:val="1004"/>
        </w:numPr>
      </w:pPr>
      <w:r>
        <w:rPr>
          <w:b/>
        </w:rPr>
        <w:t xml:space="preserve">Clearly Define the Choice Between 8D and Simplified Reports</w:t>
      </w:r>
      <w:r>
        <w:t xml:space="preserve">: Section 4.6.4 only specifies</w:t>
      </w:r>
      <w:r>
        <w:t xml:space="preserve"> </w:t>
      </w:r>
      <w:r>
        <w:t xml:space="preserve">“</w:t>
      </w:r>
      <w:r>
        <w:t xml:space="preserve">follow customer requirements,</w:t>
      </w:r>
      <w:r>
        <w:t xml:space="preserve">”</w:t>
      </w:r>
      <w:r>
        <w:t xml:space="preserve"> </w:t>
      </w:r>
      <w:r>
        <w:t xml:space="preserve">but internal rules are also needed. It is recommended to add</w:t>
      </w:r>
      <w:r>
        <w:t xml:space="preserve"> </w:t>
      </w:r>
      <w:r>
        <w:t xml:space="preserve">“</w:t>
      </w:r>
      <w:r>
        <w:t xml:space="preserve">all Level I complaints and repeated complaints must be expanded and archived in 8D format, regardless of customer requirements,</w:t>
      </w:r>
      <w:r>
        <w:t xml:space="preserve">”</w:t>
      </w:r>
      <w:r>
        <w:t xml:space="preserve"> </w:t>
      </w:r>
      <w:r>
        <w:t xml:space="preserve">to avoid the lack of historical analysis when the same issue occurs again.</w:t>
      </w:r>
    </w:p>
    <w:p>
      <w:pPr>
        <w:pStyle w:val="FirstParagraph"/>
      </w:pPr>
      <w:r>
        <w:rPr>
          <w:b/>
        </w:rPr>
        <w:t xml:space="preserve">2. Audit Focus Points (Frequent in Internal and Certification Audits)</w:t>
      </w:r>
    </w:p>
    <w:p>
      <w:pPr>
        <w:numPr>
          <w:ilvl w:val="0"/>
          <w:numId w:val="1005"/>
        </w:numPr>
        <w:pStyle w:val="Compact"/>
      </w:pPr>
      <w:r>
        <w:t xml:space="preserve">Whether the complaint ledger is complete: Cross-check sales chat records, customer emails, return orders, and complaint registration forms to ensure no complaints are missed.</w:t>
      </w:r>
    </w:p>
    <w:p>
      <w:pPr>
        <w:numPr>
          <w:ilvl w:val="0"/>
          <w:numId w:val="1005"/>
        </w:numPr>
        <w:pStyle w:val="Compact"/>
      </w:pPr>
      <w:r>
        <w:t xml:space="preserve">Whether grading matches the actual severity, and if there are any artificial downgrades to meet timelines.</w:t>
      </w:r>
    </w:p>
    <w:p>
      <w:pPr>
        <w:numPr>
          <w:ilvl w:val="0"/>
          <w:numId w:val="1005"/>
        </w:numPr>
        <w:pStyle w:val="Compact"/>
      </w:pPr>
      <w:r>
        <w:t xml:space="preserve">Whether response times are supported by evidence: Can the registration time, first response time, and containment measure completion time be traced from emails and records?</w:t>
      </w:r>
    </w:p>
    <w:p>
      <w:pPr>
        <w:numPr>
          <w:ilvl w:val="0"/>
          <w:numId w:val="1005"/>
        </w:numPr>
        <w:pStyle w:val="Compact"/>
      </w:pPr>
      <w:r>
        <w:t xml:space="preserve">Whether cause analysis only stops at</w:t>
      </w:r>
      <w:r>
        <w:t xml:space="preserve"> </w:t>
      </w:r>
      <w:r>
        <w:t xml:space="preserve">“</w:t>
      </w:r>
      <w:r>
        <w:t xml:space="preserve">operator negligence</w:t>
      </w:r>
      <w:r>
        <w:t xml:space="preserve">”</w:t>
      </w:r>
      <w:r>
        <w:t xml:space="preserve"> </w:t>
      </w:r>
      <w:r>
        <w:t xml:space="preserve">without delving into standards, training, and supervision.</w:t>
      </w:r>
    </w:p>
    <w:p>
      <w:pPr>
        <w:numPr>
          <w:ilvl w:val="0"/>
          <w:numId w:val="1005"/>
        </w:numPr>
        <w:pStyle w:val="Compact"/>
      </w:pPr>
      <w:r>
        <w:t xml:space="preserve">Whether corrective actions correspond to the identified causes: If the cause is</w:t>
      </w:r>
      <w:r>
        <w:t xml:space="preserve"> </w:t>
      </w:r>
      <w:r>
        <w:t xml:space="preserve">“</w:t>
      </w:r>
      <w:r>
        <w:t xml:space="preserve">inspection oversight,</w:t>
      </w:r>
      <w:r>
        <w:t xml:space="preserve">”</w:t>
      </w:r>
      <w:r>
        <w:t xml:space="preserve"> </w:t>
      </w:r>
      <w:r>
        <w:t xml:space="preserve">the measure should not be</w:t>
      </w:r>
      <w:r>
        <w:t xml:space="preserve"> </w:t>
      </w:r>
      <w:r>
        <w:t xml:space="preserve">“</w:t>
      </w:r>
      <w:r>
        <w:t xml:space="preserve">strengthen training,</w:t>
      </w:r>
      <w:r>
        <w:t xml:space="preserve">”</w:t>
      </w:r>
      <w:r>
        <w:t xml:space="preserve"> </w:t>
      </w:r>
      <w:r>
        <w:t xml:space="preserve">which is a typical nonconformity.</w:t>
      </w:r>
    </w:p>
    <w:p>
      <w:pPr>
        <w:numPr>
          <w:ilvl w:val="0"/>
          <w:numId w:val="1005"/>
        </w:numPr>
        <w:pStyle w:val="Compact"/>
      </w:pPr>
      <w:r>
        <w:t xml:space="preserve">Whether effectiveness verification is supported by data: Are there continuous batch inspection data or evidence of no recurrence during the operation period, rather than just a statement of</w:t>
      </w:r>
      <w:r>
        <w:t xml:space="preserve"> </w:t>
      </w:r>
      <w:r>
        <w:t xml:space="preserve">“</w:t>
      </w:r>
      <w:r>
        <w:t xml:space="preserve">improved</w:t>
      </w:r>
      <w:r>
        <w:t xml:space="preserve">”</w:t>
      </w:r>
      <w:r>
        <w:t xml:space="preserve">?</w:t>
      </w:r>
    </w:p>
    <w:p>
      <w:pPr>
        <w:numPr>
          <w:ilvl w:val="0"/>
          <w:numId w:val="1005"/>
        </w:numPr>
        <w:pStyle w:val="Compact"/>
      </w:pPr>
      <w:r>
        <w:t xml:space="preserve">Whether customer confirmation is genuine: Closing before customer confirmation is a logical inconsistency.</w:t>
      </w:r>
    </w:p>
    <w:p>
      <w:pPr>
        <w:numPr>
          <w:ilvl w:val="0"/>
          <w:numId w:val="1005"/>
        </w:numPr>
        <w:pStyle w:val="Compact"/>
      </w:pPr>
      <w:r>
        <w:t xml:space="preserve">Whether complaint data is included in management review inputs and satisfaction analysis, and if there are any discrepancies between the complaint ledger and quality target reports.</w:t>
      </w:r>
    </w:p>
    <w:p>
      <w:pPr>
        <w:pStyle w:val="FirstParagraph"/>
      </w:pPr>
      <w:r>
        <w:rPr>
          <w:b/>
        </w:rPr>
        <w:t xml:space="preserve">3. Common Errors</w:t>
      </w:r>
    </w:p>
    <w:p>
      <w:pPr>
        <w:numPr>
          <w:ilvl w:val="0"/>
          <w:numId w:val="1006"/>
        </w:numPr>
        <w:pStyle w:val="Compact"/>
      </w:pPr>
      <w:r>
        <w:rPr>
          <w:b/>
        </w:rPr>
        <w:t xml:space="preserve">“</w:t>
      </w:r>
      <w:r>
        <w:rPr>
          <w:b/>
        </w:rPr>
        <w:t xml:space="preserve">Firefighting</w:t>
      </w:r>
      <w:r>
        <w:rPr>
          <w:b/>
        </w:rPr>
        <w:t xml:space="preserve">”</w:t>
      </w:r>
      <w:r>
        <w:rPr>
          <w:b/>
        </w:rPr>
        <w:t xml:space="preserve"> </w:t>
      </w:r>
      <w:r>
        <w:rPr>
          <w:b/>
        </w:rPr>
        <w:t xml:space="preserve">Handling, No Root Cause Analysis</w:t>
      </w:r>
      <w:r>
        <w:t xml:space="preserve">: Only solving the immediate batch when the customer is pressing, without investigating inventory and in-transit items, leading to the same nonconformities reoccurring in the next batch. Solution: Make</w:t>
      </w:r>
      <w:r>
        <w:t xml:space="preserve"> </w:t>
      </w:r>
      <w:r>
        <w:t xml:space="preserve">“</w:t>
      </w:r>
      <w:r>
        <w:t xml:space="preserve">investigation scope</w:t>
      </w:r>
      <w:r>
        <w:t xml:space="preserve">”</w:t>
      </w:r>
      <w:r>
        <w:t xml:space="preserve"> </w:t>
      </w:r>
      <w:r>
        <w:t xml:space="preserve">a mandatory field in the handling form, and do not proceed to cause analysis without filling it.</w:t>
      </w:r>
    </w:p>
    <w:p>
      <w:pPr>
        <w:numPr>
          <w:ilvl w:val="0"/>
          <w:numId w:val="1006"/>
        </w:numPr>
        <w:pStyle w:val="Compact"/>
      </w:pPr>
      <w:r>
        <w:rPr>
          <w:b/>
        </w:rPr>
        <w:t xml:space="preserve">Only Analyzing Occurrence Cause, Not Flow-out Cause</w:t>
      </w:r>
      <w:r>
        <w:t xml:space="preserve">: Internal analysis is thorough, but the question</w:t>
      </w:r>
      <w:r>
        <w:t xml:space="preserve"> </w:t>
      </w:r>
      <w:r>
        <w:t xml:space="preserve">“</w:t>
      </w:r>
      <w:r>
        <w:t xml:space="preserve">why was it not intercepted by inspection</w:t>
      </w:r>
      <w:r>
        <w:t xml:space="preserve">”</w:t>
      </w:r>
      <w:r>
        <w:t xml:space="preserve"> </w:t>
      </w:r>
      <w:r>
        <w:t xml:space="preserve">is never answered. Solution: Force the handling form to have three columns, and only submit for closure if all columns are filled.</w:t>
      </w:r>
    </w:p>
    <w:p>
      <w:pPr>
        <w:numPr>
          <w:ilvl w:val="0"/>
          <w:numId w:val="1006"/>
        </w:numPr>
        <w:pStyle w:val="Compact"/>
      </w:pPr>
      <w:r>
        <w:rPr>
          <w:b/>
        </w:rPr>
        <w:t xml:space="preserve">Separate Ledgers for Complaints and Corrective Actions</w:t>
      </w:r>
      <w:r>
        <w:t xml:space="preserve">: Measures are written in the complaint form but not found in the corrective action ledger, making it impossible to link during audits. Solution: Use the complaint number as the associated number in both forms.</w:t>
      </w:r>
    </w:p>
    <w:p>
      <w:pPr>
        <w:numPr>
          <w:ilvl w:val="0"/>
          <w:numId w:val="1006"/>
        </w:numPr>
        <w:pStyle w:val="Compact"/>
      </w:pPr>
      <w:r>
        <w:rPr>
          <w:b/>
        </w:rPr>
        <w:t xml:space="preserve">One Response to the Customer, Another for Internal Execution</w:t>
      </w:r>
      <w:r>
        <w:t xml:space="preserve">: Promising stricter measures to satisfy the customer than those actually implemented internally. Solution: Have the Quality Department review the external response to ensure the promised measures are documented and assigned in internal files.</w:t>
      </w:r>
    </w:p>
    <w:p>
      <w:pPr>
        <w:numPr>
          <w:ilvl w:val="0"/>
          <w:numId w:val="1006"/>
        </w:numPr>
        <w:pStyle w:val="Compact"/>
      </w:pPr>
      <w:r>
        <w:rPr>
          <w:b/>
        </w:rPr>
        <w:t xml:space="preserve">High Closure Rate, High Repeated Complaints</w:t>
      </w:r>
      <w:r>
        <w:t xml:space="preserve">: Good metrics but unresolved issues. Solution: Force a separate</w:t>
      </w:r>
      <w:r>
        <w:t xml:space="preserve"> </w:t>
      </w:r>
      <w:r>
        <w:t xml:space="preserve">“</w:t>
      </w:r>
      <w:r>
        <w:t xml:space="preserve">repeated complaint list</w:t>
      </w:r>
      <w:r>
        <w:t xml:space="preserve">”</w:t>
      </w:r>
      <w:r>
        <w:t xml:space="preserve"> </w:t>
      </w:r>
      <w:r>
        <w:t xml:space="preserve">in the monthly analysis form, with separate evaluations and mandatory involvement of the Management Representative in analysis.</w:t>
      </w:r>
    </w:p>
    <w:p>
      <w:pPr>
        <w:numPr>
          <w:ilvl w:val="0"/>
          <w:numId w:val="1006"/>
        </w:numPr>
        <w:pStyle w:val="Compact"/>
      </w:pPr>
      <w:r>
        <w:rPr>
          <w:b/>
        </w:rPr>
        <w:t xml:space="preserve">Complaint Information Only Enters, Never Exits</w:t>
      </w:r>
      <w:r>
        <w:t xml:space="preserve">: The ledger is only used for audits and does not feed back to design, process, and inspection standards. Solution: Convert the top 3 issues into at least one specific improvement (modify drawings, modify tooling, modify inspection standards, modify work instructions) each month, and verify the results of last month’s improvements in the next analysis form.</w:t>
      </w:r>
    </w:p>
    <w:p>
      <w:pPr>
        <w:numPr>
          <w:ilvl w:val="0"/>
          <w:numId w:val="1006"/>
        </w:numPr>
        <w:pStyle w:val="Compact"/>
      </w:pPr>
      <w:r>
        <w:rPr>
          <w:b/>
        </w:rPr>
        <w:t xml:space="preserve">Verbal Grievances Not Registered</w:t>
      </w:r>
      <w:r>
        <w:t xml:space="preserve">: Believing that</w:t>
      </w:r>
      <w:r>
        <w:t xml:space="preserve"> </w:t>
      </w:r>
      <w:r>
        <w:t xml:space="preserve">“</w:t>
      </w:r>
      <w:r>
        <w:t xml:space="preserve">informal complaints do not count,</w:t>
      </w:r>
      <w:r>
        <w:t xml:space="preserve">”</w:t>
      </w:r>
      <w:r>
        <w:t xml:space="preserve"> </w:t>
      </w:r>
      <w:r>
        <w:t xml:space="preserve">leading to a disconnect between satisfaction survey data and actual customer feelings. Solution: Include dissatisfaction expressed during routine visits and customer meetings in the registration scope, and have the visitor fill it back within 24 hours.</w:t>
      </w:r>
    </w:p>
    <w:p>
      <w:r>
        <w:pict>
          <v:rect style="width:0;height:1.5pt" o:hralign="center" o:hrstd="t" o:hr="t"/>
        </w:pict>
      </w:r>
    </w:p>
    <w:p>
      <w:pPr>
        <w:pStyle w:val="BlockText"/>
      </w:pPr>
      <w:r>
        <w:t xml:space="preserve">Complaints are not to be feared; what is to be feared is the same complaint coming a second time.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2026-10-16T14:15:32Z</dcterms:created>
  <dcterms:modified xsi:type="dcterms:W3CDTF">2026-10-16T14:15:32Z</dcterms:modified>
</cp:coreProperties>
</file>

<file path=docProps/custom.xml><?xml version="1.0" encoding="utf-8"?>
<Properties xmlns="http://schemas.openxmlformats.org/officeDocument/2006/custom-properties" xmlns:vt="http://schemas.openxmlformats.org/officeDocument/2006/docPropsVTypes"/>
</file>